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E2FF1" w14:textId="77777777" w:rsidR="000640F7" w:rsidRPr="000640F7" w:rsidRDefault="000640F7" w:rsidP="000640F7">
      <w:pPr>
        <w:spacing w:after="0" w:line="240" w:lineRule="auto"/>
        <w:jc w:val="center"/>
        <w:rPr>
          <w:rFonts w:ascii="Times New Roman" w:eastAsia="Times New Roman" w:hAnsi="Times New Roman" w:cs="Times New Roman"/>
          <w:sz w:val="24"/>
          <w:szCs w:val="24"/>
          <w:lang w:eastAsia="en-CA"/>
        </w:rPr>
      </w:pPr>
      <w:r w:rsidRPr="000640F7">
        <w:rPr>
          <w:rFonts w:eastAsiaTheme="minorEastAsia" w:hAnsi="Calibri"/>
          <w:b/>
          <w:bCs/>
          <w:color w:val="000000" w:themeColor="text1"/>
          <w:kern w:val="24"/>
          <w:sz w:val="36"/>
          <w:szCs w:val="36"/>
          <w:lang w:val="en-US" w:eastAsia="en-CA"/>
        </w:rPr>
        <w:t>Sandy Hill Community Liaison Committee</w:t>
      </w:r>
    </w:p>
    <w:p w14:paraId="2AB234BA" w14:textId="30BE5E13" w:rsidR="000640F7" w:rsidRDefault="000640F7" w:rsidP="000640F7">
      <w:pPr>
        <w:jc w:val="center"/>
      </w:pPr>
      <w:r w:rsidRPr="000640F7">
        <w:rPr>
          <w:rFonts w:eastAsiaTheme="minorEastAsia" w:hAnsi="Calibri"/>
          <w:b/>
          <w:bCs/>
          <w:color w:val="000000" w:themeColor="text1"/>
          <w:kern w:val="24"/>
          <w:sz w:val="36"/>
          <w:szCs w:val="36"/>
          <w:lang w:val="en-US" w:eastAsia="en-CA"/>
        </w:rPr>
        <w:t xml:space="preserve">Summary Notes from Meeting on </w:t>
      </w:r>
      <w:r w:rsidR="00087074">
        <w:rPr>
          <w:rFonts w:eastAsiaTheme="minorEastAsia" w:hAnsi="Calibri"/>
          <w:b/>
          <w:bCs/>
          <w:color w:val="000000" w:themeColor="text1"/>
          <w:kern w:val="24"/>
          <w:sz w:val="36"/>
          <w:szCs w:val="36"/>
          <w:lang w:val="en-US" w:eastAsia="en-CA"/>
        </w:rPr>
        <w:t>March 19</w:t>
      </w:r>
      <w:r w:rsidR="008E5CA6">
        <w:rPr>
          <w:rFonts w:eastAsiaTheme="minorEastAsia" w:hAnsi="Calibri"/>
          <w:b/>
          <w:bCs/>
          <w:color w:val="000000" w:themeColor="text1"/>
          <w:kern w:val="24"/>
          <w:sz w:val="36"/>
          <w:szCs w:val="36"/>
          <w:lang w:val="en-US" w:eastAsia="en-CA"/>
        </w:rPr>
        <w:t>,</w:t>
      </w:r>
      <w:r w:rsidR="005F4C85">
        <w:rPr>
          <w:rFonts w:eastAsiaTheme="minorEastAsia" w:hAnsi="Calibri"/>
          <w:b/>
          <w:bCs/>
          <w:color w:val="000000" w:themeColor="text1"/>
          <w:kern w:val="24"/>
          <w:sz w:val="36"/>
          <w:szCs w:val="36"/>
          <w:lang w:val="en-US" w:eastAsia="en-CA"/>
        </w:rPr>
        <w:t xml:space="preserve"> 202</w:t>
      </w:r>
      <w:r w:rsidR="00087074">
        <w:rPr>
          <w:rFonts w:eastAsiaTheme="minorEastAsia" w:hAnsi="Calibri"/>
          <w:b/>
          <w:bCs/>
          <w:color w:val="000000" w:themeColor="text1"/>
          <w:kern w:val="24"/>
          <w:sz w:val="36"/>
          <w:szCs w:val="36"/>
          <w:lang w:val="en-US" w:eastAsia="en-CA"/>
        </w:rPr>
        <w:t>4</w:t>
      </w:r>
    </w:p>
    <w:tbl>
      <w:tblPr>
        <w:tblStyle w:val="TableGrid"/>
        <w:tblW w:w="0" w:type="auto"/>
        <w:tblLook w:val="04A0" w:firstRow="1" w:lastRow="0" w:firstColumn="1" w:lastColumn="0" w:noHBand="0" w:noVBand="1"/>
      </w:tblPr>
      <w:tblGrid>
        <w:gridCol w:w="2122"/>
        <w:gridCol w:w="4353"/>
        <w:gridCol w:w="2735"/>
        <w:gridCol w:w="2766"/>
      </w:tblGrid>
      <w:tr w:rsidR="000640F7" w14:paraId="617AADB8" w14:textId="77777777" w:rsidTr="0014686F">
        <w:trPr>
          <w:trHeight w:val="826"/>
        </w:trPr>
        <w:tc>
          <w:tcPr>
            <w:tcW w:w="11976" w:type="dxa"/>
            <w:gridSpan w:val="4"/>
          </w:tcPr>
          <w:p w14:paraId="119D86EF" w14:textId="7C8BE13D" w:rsidR="000640F7" w:rsidRPr="00C82153" w:rsidRDefault="000640F7" w:rsidP="00C82153">
            <w:pPr>
              <w:jc w:val="center"/>
              <w:rPr>
                <w:b/>
              </w:rPr>
            </w:pPr>
            <w:r w:rsidRPr="00C82153">
              <w:rPr>
                <w:b/>
              </w:rPr>
              <w:t>Members Present:</w:t>
            </w:r>
            <w:r w:rsidR="008D6993" w:rsidRPr="00C82153">
              <w:rPr>
                <w:b/>
              </w:rPr>
              <w:t xml:space="preserve"> </w:t>
            </w:r>
          </w:p>
          <w:p w14:paraId="587F9CCE" w14:textId="77777777" w:rsidR="00936843" w:rsidRPr="00936843" w:rsidRDefault="00936843" w:rsidP="00936843">
            <w:pPr>
              <w:jc w:val="center"/>
              <w:rPr>
                <w:b/>
              </w:rPr>
            </w:pPr>
            <w:r w:rsidRPr="00936843">
              <w:rPr>
                <w:b/>
              </w:rPr>
              <w:t>Attendees: Alex, Rachel (Belong Ottawa), Scott, Kira, Sean, David H, David M, Wendy, Circle K, Michael, Courtney, Robert (Ottawa U), Melva, Calla, Kent, Paul Stam, Peter (Mission), Max, Andrew (BIA)</w:t>
            </w:r>
          </w:p>
          <w:p w14:paraId="32AF69C5" w14:textId="77777777" w:rsidR="00936843" w:rsidRPr="00936843" w:rsidRDefault="00936843" w:rsidP="00936843">
            <w:pPr>
              <w:jc w:val="center"/>
              <w:rPr>
                <w:b/>
              </w:rPr>
            </w:pPr>
            <w:r w:rsidRPr="00936843">
              <w:rPr>
                <w:b/>
              </w:rPr>
              <w:t>Online: Lynea, Tania (OPL)</w:t>
            </w:r>
          </w:p>
          <w:p w14:paraId="4B9E921E" w14:textId="6A2B4EAF" w:rsidR="000640F7" w:rsidRPr="00C82153" w:rsidRDefault="000640F7" w:rsidP="00C82153">
            <w:pPr>
              <w:jc w:val="center"/>
              <w:rPr>
                <w:b/>
              </w:rPr>
            </w:pPr>
            <w:r w:rsidRPr="00C82153">
              <w:rPr>
                <w:b/>
              </w:rPr>
              <w:t>Notes taken by:</w:t>
            </w:r>
            <w:r w:rsidR="008D6993" w:rsidRPr="00C82153">
              <w:rPr>
                <w:b/>
              </w:rPr>
              <w:t xml:space="preserve"> </w:t>
            </w:r>
            <w:r w:rsidR="00BA0E46">
              <w:rPr>
                <w:b/>
              </w:rPr>
              <w:t>Kent Hugh</w:t>
            </w:r>
          </w:p>
          <w:p w14:paraId="1D5859D3" w14:textId="1A767495" w:rsidR="000640F7" w:rsidRDefault="000640F7" w:rsidP="00C82153">
            <w:pPr>
              <w:jc w:val="center"/>
            </w:pPr>
            <w:r w:rsidRPr="00C82153">
              <w:rPr>
                <w:b/>
              </w:rPr>
              <w:t xml:space="preserve">Circulated for approval on: </w:t>
            </w:r>
          </w:p>
        </w:tc>
      </w:tr>
      <w:tr w:rsidR="00E31297" w14:paraId="0B39EA67" w14:textId="77777777" w:rsidTr="0014686F">
        <w:tc>
          <w:tcPr>
            <w:tcW w:w="2122" w:type="dxa"/>
            <w:shd w:val="clear" w:color="auto" w:fill="B4C6E7" w:themeFill="accent1" w:themeFillTint="66"/>
          </w:tcPr>
          <w:p w14:paraId="3A676348" w14:textId="77777777" w:rsidR="00E31297" w:rsidRDefault="00E31297">
            <w:r>
              <w:t>Agenda</w:t>
            </w:r>
          </w:p>
        </w:tc>
        <w:tc>
          <w:tcPr>
            <w:tcW w:w="4353" w:type="dxa"/>
            <w:shd w:val="clear" w:color="auto" w:fill="B4C6E7" w:themeFill="accent1" w:themeFillTint="66"/>
          </w:tcPr>
          <w:p w14:paraId="2B58892A" w14:textId="77777777" w:rsidR="00E31297" w:rsidRDefault="00E31297">
            <w:r>
              <w:t>Issues raised</w:t>
            </w:r>
          </w:p>
        </w:tc>
        <w:tc>
          <w:tcPr>
            <w:tcW w:w="2735" w:type="dxa"/>
            <w:shd w:val="clear" w:color="auto" w:fill="B4C6E7" w:themeFill="accent1" w:themeFillTint="66"/>
          </w:tcPr>
          <w:p w14:paraId="7E92D916" w14:textId="77777777" w:rsidR="00E31297" w:rsidRDefault="00E31297">
            <w:r>
              <w:t>Decision/Recommendations</w:t>
            </w:r>
          </w:p>
        </w:tc>
        <w:tc>
          <w:tcPr>
            <w:tcW w:w="2766" w:type="dxa"/>
            <w:shd w:val="clear" w:color="auto" w:fill="B4C6E7" w:themeFill="accent1" w:themeFillTint="66"/>
          </w:tcPr>
          <w:p w14:paraId="629F101C" w14:textId="77777777" w:rsidR="00E31297" w:rsidRDefault="00E31297">
            <w:r>
              <w:t>Next Steps</w:t>
            </w:r>
          </w:p>
        </w:tc>
      </w:tr>
      <w:tr w:rsidR="008D6993" w14:paraId="1EB46572" w14:textId="77777777" w:rsidTr="0014686F">
        <w:tc>
          <w:tcPr>
            <w:tcW w:w="2122" w:type="dxa"/>
            <w:shd w:val="clear" w:color="auto" w:fill="D9E2F3" w:themeFill="accent1" w:themeFillTint="33"/>
          </w:tcPr>
          <w:p w14:paraId="47E217EE" w14:textId="44F849EC" w:rsidR="008D6993" w:rsidRDefault="005826DA" w:rsidP="008D6993">
            <w:r>
              <w:t>Opening Remarks</w:t>
            </w:r>
          </w:p>
        </w:tc>
        <w:tc>
          <w:tcPr>
            <w:tcW w:w="4353" w:type="dxa"/>
          </w:tcPr>
          <w:p w14:paraId="35E60697" w14:textId="1A136E88" w:rsidR="00486B14" w:rsidRDefault="00BC2925" w:rsidP="00BC2925">
            <w:pPr>
              <w:shd w:val="clear" w:color="auto" w:fill="FFFFFF"/>
              <w:outlineLvl w:val="1"/>
            </w:pPr>
            <w:r w:rsidRPr="00BC2925">
              <w:rPr>
                <w:i/>
                <w:iCs/>
              </w:rPr>
              <w:t>Hopes and expectations of the are varied, but it’s the entire committee that must focus on the problems.</w:t>
            </w:r>
            <w:r>
              <w:rPr>
                <w:i/>
                <w:iCs/>
              </w:rPr>
              <w:t xml:space="preserve"> T</w:t>
            </w:r>
            <w:r w:rsidRPr="00BC2925">
              <w:rPr>
                <w:i/>
                <w:iCs/>
              </w:rPr>
              <w:t>his includes focusing energies on the problem, and not our neighbours. There is a code of conduct, and we must adhere to this.</w:t>
            </w:r>
          </w:p>
        </w:tc>
        <w:tc>
          <w:tcPr>
            <w:tcW w:w="2735" w:type="dxa"/>
          </w:tcPr>
          <w:p w14:paraId="5497A8FE" w14:textId="22FEEE0A" w:rsidR="009D1511" w:rsidRDefault="00344B19" w:rsidP="008D6993">
            <w:r>
              <w:t>None</w:t>
            </w:r>
          </w:p>
        </w:tc>
        <w:tc>
          <w:tcPr>
            <w:tcW w:w="2766" w:type="dxa"/>
          </w:tcPr>
          <w:p w14:paraId="10802266" w14:textId="7D26C327" w:rsidR="009D1511" w:rsidRDefault="00344B19" w:rsidP="00C82153">
            <w:r>
              <w:t>None</w:t>
            </w:r>
          </w:p>
        </w:tc>
      </w:tr>
      <w:tr w:rsidR="0089670D" w14:paraId="74306D20" w14:textId="77777777" w:rsidTr="0014686F">
        <w:tc>
          <w:tcPr>
            <w:tcW w:w="2122" w:type="dxa"/>
            <w:shd w:val="clear" w:color="auto" w:fill="D9E2F3" w:themeFill="accent1" w:themeFillTint="33"/>
          </w:tcPr>
          <w:p w14:paraId="41C1AB96" w14:textId="6C5BD2E2" w:rsidR="0089670D" w:rsidRDefault="0089670D" w:rsidP="008D6993">
            <w:r>
              <w:t>Review of Membership</w:t>
            </w:r>
          </w:p>
        </w:tc>
        <w:tc>
          <w:tcPr>
            <w:tcW w:w="4353" w:type="dxa"/>
          </w:tcPr>
          <w:p w14:paraId="51831B71" w14:textId="77777777" w:rsidR="00A103F0" w:rsidRDefault="00A103F0" w:rsidP="005C267B">
            <w:pPr>
              <w:shd w:val="clear" w:color="auto" w:fill="FFFFFF"/>
              <w:outlineLvl w:val="1"/>
            </w:pPr>
            <w:r>
              <w:t>No new members have joined.</w:t>
            </w:r>
          </w:p>
          <w:p w14:paraId="5C3AA311" w14:textId="77777777" w:rsidR="003211A6" w:rsidRDefault="00A103F0" w:rsidP="005C267B">
            <w:pPr>
              <w:shd w:val="clear" w:color="auto" w:fill="FFFFFF"/>
              <w:outlineLvl w:val="1"/>
            </w:pPr>
            <w:r>
              <w:t>Morgan Smith from Theo, and Michael Sarwa from Bell were approached</w:t>
            </w:r>
            <w:r w:rsidR="003211A6">
              <w:t>.</w:t>
            </w:r>
          </w:p>
          <w:p w14:paraId="533479BB" w14:textId="77777777" w:rsidR="003211A6" w:rsidRDefault="00A103F0" w:rsidP="005C267B">
            <w:pPr>
              <w:shd w:val="clear" w:color="auto" w:fill="FFFFFF"/>
              <w:outlineLvl w:val="1"/>
            </w:pPr>
            <w:r>
              <w:t xml:space="preserve">Steve’s Music, Bytown Theatre and Shoppers have also been mentioned in the recruitment process. </w:t>
            </w:r>
          </w:p>
          <w:p w14:paraId="3DE064DF" w14:textId="4A3AF777" w:rsidR="0089670D" w:rsidRDefault="00A103F0" w:rsidP="005C267B">
            <w:pPr>
              <w:shd w:val="clear" w:color="auto" w:fill="FFFFFF"/>
              <w:outlineLvl w:val="1"/>
            </w:pPr>
            <w:r>
              <w:t>David stated that we must keep equal representation to all groups.</w:t>
            </w:r>
          </w:p>
        </w:tc>
        <w:tc>
          <w:tcPr>
            <w:tcW w:w="2735" w:type="dxa"/>
          </w:tcPr>
          <w:p w14:paraId="648A8E82" w14:textId="230CC1A4" w:rsidR="0089670D" w:rsidRDefault="00737B2C" w:rsidP="008D6993">
            <w:r>
              <w:t>None</w:t>
            </w:r>
          </w:p>
        </w:tc>
        <w:tc>
          <w:tcPr>
            <w:tcW w:w="2766" w:type="dxa"/>
          </w:tcPr>
          <w:p w14:paraId="328A06B7" w14:textId="3B6D6A6C" w:rsidR="0089670D" w:rsidRDefault="00737B2C" w:rsidP="00C82153">
            <w:r>
              <w:t>None</w:t>
            </w:r>
          </w:p>
        </w:tc>
      </w:tr>
      <w:tr w:rsidR="005F4C85" w14:paraId="59C9F34B" w14:textId="77777777" w:rsidTr="0014686F">
        <w:tc>
          <w:tcPr>
            <w:tcW w:w="2122" w:type="dxa"/>
            <w:shd w:val="clear" w:color="auto" w:fill="D9E2F3" w:themeFill="accent1" w:themeFillTint="33"/>
          </w:tcPr>
          <w:p w14:paraId="09A47759" w14:textId="33ED600C" w:rsidR="005F4C85" w:rsidRDefault="008C455D" w:rsidP="005F4C85">
            <w:r>
              <w:t>New Business</w:t>
            </w:r>
          </w:p>
        </w:tc>
        <w:tc>
          <w:tcPr>
            <w:tcW w:w="4353" w:type="dxa"/>
          </w:tcPr>
          <w:p w14:paraId="15FA755D" w14:textId="591330E3" w:rsidR="0098276C" w:rsidRDefault="0098276C" w:rsidP="0098276C">
            <w:r>
              <w:t>Starting tonight (19/03/</w:t>
            </w:r>
            <w:r w:rsidR="00A46F32">
              <w:t xml:space="preserve">2024) </w:t>
            </w:r>
            <w:r>
              <w:t xml:space="preserve">we will be reviewing minutes from previous meeting(s). </w:t>
            </w:r>
          </w:p>
          <w:p w14:paraId="058335E7" w14:textId="5F34D854" w:rsidR="005F4C85" w:rsidRDefault="005F4C85" w:rsidP="005F4C85"/>
        </w:tc>
        <w:tc>
          <w:tcPr>
            <w:tcW w:w="2735" w:type="dxa"/>
          </w:tcPr>
          <w:p w14:paraId="15B7849C" w14:textId="3D426D07" w:rsidR="005F4C85" w:rsidRDefault="004D44B1" w:rsidP="005F4C85">
            <w:r>
              <w:t xml:space="preserve">Rather than </w:t>
            </w:r>
            <w:r w:rsidR="008B7C9F">
              <w:t>reviewing the</w:t>
            </w:r>
            <w:r w:rsidR="00E826B3">
              <w:t xml:space="preserve"> previous </w:t>
            </w:r>
            <w:r w:rsidR="00657DC1">
              <w:t>m</w:t>
            </w:r>
            <w:r w:rsidR="00657DC1">
              <w:t>eeting notes</w:t>
            </w:r>
            <w:r w:rsidR="00E826B3">
              <w:t xml:space="preserve"> during the</w:t>
            </w:r>
            <w:r w:rsidR="00657DC1">
              <w:t xml:space="preserve"> </w:t>
            </w:r>
            <w:r>
              <w:t>meeting</w:t>
            </w:r>
            <w:r w:rsidR="00343087">
              <w:t>,</w:t>
            </w:r>
            <w:r>
              <w:t xml:space="preserve"> committee members are requested to review the </w:t>
            </w:r>
            <w:r w:rsidR="00343087">
              <w:t>notes</w:t>
            </w:r>
            <w:r w:rsidR="00343087">
              <w:t xml:space="preserve"> </w:t>
            </w:r>
            <w:r>
              <w:t>prior to the</w:t>
            </w:r>
            <w:r w:rsidR="00653194">
              <w:t xml:space="preserve"> next meeting</w:t>
            </w:r>
            <w:r w:rsidR="00C82FA8">
              <w:t xml:space="preserve"> and if there are any concerns or questions, to bring them up</w:t>
            </w:r>
            <w:r w:rsidR="00653194">
              <w:t>.</w:t>
            </w:r>
            <w:r>
              <w:t xml:space="preserve"> </w:t>
            </w:r>
          </w:p>
        </w:tc>
        <w:tc>
          <w:tcPr>
            <w:tcW w:w="2766" w:type="dxa"/>
          </w:tcPr>
          <w:p w14:paraId="3C671629" w14:textId="5563B109" w:rsidR="005F4C85" w:rsidRDefault="004D44B1" w:rsidP="005F4C85">
            <w:r>
              <w:t>Members to review</w:t>
            </w:r>
            <w:r w:rsidR="00326100">
              <w:t xml:space="preserve"> meeting notes</w:t>
            </w:r>
            <w:r>
              <w:t xml:space="preserve"> for approval prior to following meetings</w:t>
            </w:r>
            <w:r w:rsidR="00326100">
              <w:t xml:space="preserve"> consistently</w:t>
            </w:r>
          </w:p>
        </w:tc>
      </w:tr>
      <w:tr w:rsidR="009B626A" w14:paraId="1B9E6D6B" w14:textId="77777777" w:rsidTr="0014686F">
        <w:tc>
          <w:tcPr>
            <w:tcW w:w="2122" w:type="dxa"/>
            <w:shd w:val="clear" w:color="auto" w:fill="D9E2F3" w:themeFill="accent1" w:themeFillTint="33"/>
          </w:tcPr>
          <w:p w14:paraId="2D7FAC26" w14:textId="6C8B9B15" w:rsidR="009B626A" w:rsidRDefault="009B626A" w:rsidP="009B626A">
            <w:r>
              <w:lastRenderedPageBreak/>
              <w:t>Action Sandy Hill Update</w:t>
            </w:r>
          </w:p>
          <w:p w14:paraId="4A099950" w14:textId="77777777" w:rsidR="009B626A" w:rsidDel="00143DD5" w:rsidRDefault="009B626A" w:rsidP="008D6993"/>
        </w:tc>
        <w:tc>
          <w:tcPr>
            <w:tcW w:w="4353" w:type="dxa"/>
          </w:tcPr>
          <w:p w14:paraId="63526918" w14:textId="40D9B7A6" w:rsidR="009B626A" w:rsidRDefault="009B626A" w:rsidP="009B626A">
            <w:r>
              <w:t xml:space="preserve">ASH is holding AGM on May 30 to elect Board members. All residents of Sandy Hill, including students and people who stay at the mission are invited to join ASH as members and may choose to sit on the Board. </w:t>
            </w:r>
          </w:p>
          <w:p w14:paraId="6B969EE6" w14:textId="77777777" w:rsidR="009B626A" w:rsidRDefault="009B626A" w:rsidP="009B626A"/>
          <w:p w14:paraId="0C5ACDF3" w14:textId="77777777" w:rsidR="009B626A" w:rsidRDefault="009B626A" w:rsidP="009B626A">
            <w:r>
              <w:t>The ASH Community and Social Services Committee is working on position statements around the current situation in Sandy Hill, including the over concentration of social services in the community.</w:t>
            </w:r>
          </w:p>
          <w:p w14:paraId="6D4B7D0F" w14:textId="77777777" w:rsidR="009B626A" w:rsidRDefault="009B626A" w:rsidP="00100D30"/>
        </w:tc>
        <w:tc>
          <w:tcPr>
            <w:tcW w:w="2735" w:type="dxa"/>
          </w:tcPr>
          <w:p w14:paraId="040990FA" w14:textId="503B8959" w:rsidR="009B626A" w:rsidDel="00134B98" w:rsidRDefault="009B626A" w:rsidP="009B3AE0">
            <w:r>
              <w:t>Calla expressed her intention to provide those position statement</w:t>
            </w:r>
            <w:r w:rsidR="00D9304C">
              <w:t>s</w:t>
            </w:r>
            <w:r>
              <w:t xml:space="preserve"> to the CLC for feedback. </w:t>
            </w:r>
          </w:p>
        </w:tc>
        <w:tc>
          <w:tcPr>
            <w:tcW w:w="2766" w:type="dxa"/>
          </w:tcPr>
          <w:p w14:paraId="7E0B8947" w14:textId="015BEE9A" w:rsidR="009B626A" w:rsidRDefault="00D46CBE" w:rsidP="008D6993">
            <w:r>
              <w:t>None</w:t>
            </w:r>
          </w:p>
        </w:tc>
      </w:tr>
      <w:tr w:rsidR="0014686F" w14:paraId="696445B5" w14:textId="77777777" w:rsidTr="0014686F">
        <w:tc>
          <w:tcPr>
            <w:tcW w:w="2122" w:type="dxa"/>
            <w:shd w:val="clear" w:color="auto" w:fill="D9E2F3" w:themeFill="accent1" w:themeFillTint="33"/>
          </w:tcPr>
          <w:p w14:paraId="751BA062" w14:textId="77777777" w:rsidR="0014686F" w:rsidRDefault="0014686F" w:rsidP="0014686F">
            <w:proofErr w:type="spellStart"/>
            <w:r>
              <w:t>Byward</w:t>
            </w:r>
            <w:proofErr w:type="spellEnd"/>
            <w:r>
              <w:t xml:space="preserve"> Market BDMA</w:t>
            </w:r>
          </w:p>
          <w:p w14:paraId="68411D96" w14:textId="3F9FD7FC" w:rsidR="0014686F" w:rsidRDefault="0014686F" w:rsidP="0014686F">
            <w:r>
              <w:t>(part of ASH update)</w:t>
            </w:r>
          </w:p>
        </w:tc>
        <w:tc>
          <w:tcPr>
            <w:tcW w:w="4353" w:type="dxa"/>
          </w:tcPr>
          <w:p w14:paraId="78906AB5" w14:textId="77777777" w:rsidR="0014686F" w:rsidRDefault="0014686F" w:rsidP="0014686F">
            <w:pPr>
              <w:rPr>
                <w:bCs/>
                <w:kern w:val="2"/>
                <w14:ligatures w14:val="standardContextual"/>
              </w:rPr>
            </w:pPr>
            <w:proofErr w:type="spellStart"/>
            <w:r>
              <w:rPr>
                <w:bCs/>
                <w:kern w:val="2"/>
                <w14:ligatures w14:val="standardContextual"/>
              </w:rPr>
              <w:t>Byward</w:t>
            </w:r>
            <w:proofErr w:type="spellEnd"/>
            <w:r>
              <w:rPr>
                <w:bCs/>
                <w:kern w:val="2"/>
                <w14:ligatures w14:val="standardContextual"/>
              </w:rPr>
              <w:t xml:space="preserve"> Market BIA is now the BDMA (</w:t>
            </w:r>
            <w:proofErr w:type="spellStart"/>
            <w:r>
              <w:rPr>
                <w:bCs/>
                <w:kern w:val="2"/>
                <w14:ligatures w14:val="standardContextual"/>
              </w:rPr>
              <w:t>Byward</w:t>
            </w:r>
            <w:proofErr w:type="spellEnd"/>
            <w:r>
              <w:rPr>
                <w:bCs/>
                <w:kern w:val="2"/>
                <w14:ligatures w14:val="standardContextual"/>
              </w:rPr>
              <w:t xml:space="preserve"> Market District Authority), “</w:t>
            </w:r>
            <w:r w:rsidRPr="008D0048">
              <w:rPr>
                <w:bCs/>
                <w:kern w:val="2"/>
                <w14:ligatures w14:val="standardContextual"/>
              </w:rPr>
              <w:t xml:space="preserve">a Municipal Services Corporation, independent in its own way, but is a corporation of the City of </w:t>
            </w:r>
            <w:proofErr w:type="gramStart"/>
            <w:r w:rsidRPr="008D0048">
              <w:rPr>
                <w:bCs/>
                <w:kern w:val="2"/>
                <w14:ligatures w14:val="standardContextual"/>
              </w:rPr>
              <w:t>Ottawa</w:t>
            </w:r>
            <w:proofErr w:type="gramEnd"/>
            <w:r>
              <w:rPr>
                <w:bCs/>
                <w:kern w:val="2"/>
                <w14:ligatures w14:val="standardContextual"/>
              </w:rPr>
              <w:t xml:space="preserve">” </w:t>
            </w:r>
          </w:p>
          <w:p w14:paraId="575A8CE6" w14:textId="77777777" w:rsidR="0014686F" w:rsidRDefault="0014686F" w:rsidP="0014686F">
            <w:pPr>
              <w:rPr>
                <w:rStyle w:val="Hyperlink"/>
              </w:rPr>
            </w:pPr>
            <w:hyperlink r:id="rId6" w:history="1">
              <w:r>
                <w:rPr>
                  <w:rStyle w:val="Hyperlink"/>
                </w:rPr>
                <w:t>FAQ — ByWard Market District Authority | BMDA | Ottawa, ON Canada (byward-market.com)</w:t>
              </w:r>
            </w:hyperlink>
          </w:p>
          <w:p w14:paraId="47DC4A2B" w14:textId="77777777" w:rsidR="0014686F" w:rsidRDefault="0014686F" w:rsidP="0014686F">
            <w:pPr>
              <w:rPr>
                <w:rStyle w:val="Hyperlink"/>
              </w:rPr>
            </w:pPr>
          </w:p>
          <w:p w14:paraId="69161BB3" w14:textId="77777777" w:rsidR="0014686F" w:rsidRDefault="0014686F" w:rsidP="0014686F">
            <w:pPr>
              <w:rPr>
                <w:bCs/>
                <w:kern w:val="2"/>
                <w14:ligatures w14:val="standardContextual"/>
              </w:rPr>
            </w:pPr>
            <w:r>
              <w:rPr>
                <w:bCs/>
                <w:kern w:val="2"/>
                <w14:ligatures w14:val="standardContextual"/>
              </w:rPr>
              <w:t xml:space="preserve">It appears that through the BMDA, funding has been provided to OICH’s Block Representatives Program and that they have been sent into Sandy Hill to help while the Oasis injection room is closed. However, their help was not requested by the services here. </w:t>
            </w:r>
          </w:p>
          <w:p w14:paraId="10319831" w14:textId="77777777" w:rsidR="0014686F" w:rsidRDefault="0014686F" w:rsidP="0014686F">
            <w:pPr>
              <w:rPr>
                <w:bCs/>
                <w:kern w:val="2"/>
                <w14:ligatures w14:val="standardContextual"/>
              </w:rPr>
            </w:pPr>
          </w:p>
          <w:p w14:paraId="2518EEDE" w14:textId="77777777" w:rsidR="0014686F" w:rsidRDefault="0014686F" w:rsidP="00340E93">
            <w:pPr>
              <w:rPr>
                <w:bCs/>
                <w:kern w:val="2"/>
                <w14:ligatures w14:val="standardContextual"/>
              </w:rPr>
            </w:pPr>
          </w:p>
        </w:tc>
        <w:tc>
          <w:tcPr>
            <w:tcW w:w="2735" w:type="dxa"/>
          </w:tcPr>
          <w:p w14:paraId="4D9C3564" w14:textId="77777777" w:rsidR="00340E93" w:rsidRDefault="00340E93" w:rsidP="00340E93">
            <w:r>
              <w:t xml:space="preserve">The CLC should investigate whether the Block Leaders presence in Sandy Hill would be an asset. </w:t>
            </w:r>
          </w:p>
          <w:p w14:paraId="4890794A" w14:textId="77777777" w:rsidR="0014686F" w:rsidRDefault="0014686F" w:rsidP="0014686F"/>
        </w:tc>
        <w:tc>
          <w:tcPr>
            <w:tcW w:w="2766" w:type="dxa"/>
          </w:tcPr>
          <w:p w14:paraId="03E9F374" w14:textId="77777777" w:rsidR="00340E93" w:rsidRDefault="00340E93" w:rsidP="00340E93">
            <w:r>
              <w:t xml:space="preserve">1. Consensus on inviting the Block Leaders program to present at the next CLC so that we may better understand it. </w:t>
            </w:r>
          </w:p>
          <w:p w14:paraId="412D5041" w14:textId="77777777" w:rsidR="00340E93" w:rsidRDefault="00340E93" w:rsidP="00340E93"/>
          <w:p w14:paraId="026CA06A" w14:textId="77777777" w:rsidR="00340E93" w:rsidRDefault="00340E93" w:rsidP="00340E93">
            <w:r>
              <w:t xml:space="preserve">2. Calla suggested drafting a letter to the BMDA to understand their relationship with the Block Leaders program and ask questions about the funding process and the role they will play. </w:t>
            </w:r>
          </w:p>
          <w:p w14:paraId="1C52AAF9" w14:textId="77777777" w:rsidR="00340E93" w:rsidRDefault="00340E93" w:rsidP="00340E93">
            <w:r>
              <w:t xml:space="preserve">        A. Committee members should send her questions they have for the BMDA so she can integrate them into the letter. </w:t>
            </w:r>
          </w:p>
          <w:p w14:paraId="6989E006" w14:textId="5E07B376" w:rsidR="0014686F" w:rsidRDefault="00340E93" w:rsidP="0014686F">
            <w:r>
              <w:t xml:space="preserve">        B. She will send a draft of the letter for feedback via email. </w:t>
            </w:r>
          </w:p>
        </w:tc>
      </w:tr>
      <w:tr w:rsidR="0014686F" w14:paraId="48058B87" w14:textId="77777777" w:rsidTr="0014686F">
        <w:tc>
          <w:tcPr>
            <w:tcW w:w="2122" w:type="dxa"/>
            <w:shd w:val="clear" w:color="auto" w:fill="D9E2F3" w:themeFill="accent1" w:themeFillTint="33"/>
          </w:tcPr>
          <w:p w14:paraId="76A4C0A3" w14:textId="0184C3E5" w:rsidR="00A53532" w:rsidRDefault="00A53532" w:rsidP="00A53532">
            <w:proofErr w:type="spellStart"/>
            <w:r>
              <w:lastRenderedPageBreak/>
              <w:t>Synapcity</w:t>
            </w:r>
            <w:proofErr w:type="spellEnd"/>
            <w:r>
              <w:t xml:space="preserve"> Update</w:t>
            </w:r>
          </w:p>
          <w:p w14:paraId="5C6E42BD" w14:textId="77777777" w:rsidR="0014686F" w:rsidRDefault="0014686F" w:rsidP="0014686F"/>
        </w:tc>
        <w:tc>
          <w:tcPr>
            <w:tcW w:w="4353" w:type="dxa"/>
          </w:tcPr>
          <w:p w14:paraId="4A2B3C8B" w14:textId="5D506C62" w:rsidR="00340E93" w:rsidRDefault="00340E93" w:rsidP="00340E93">
            <w:pPr>
              <w:rPr>
                <w:bCs/>
                <w:kern w:val="2"/>
                <w14:ligatures w14:val="standardContextual"/>
              </w:rPr>
            </w:pPr>
            <w:r>
              <w:rPr>
                <w:bCs/>
                <w:kern w:val="2"/>
                <w14:ligatures w14:val="standardContextual"/>
              </w:rPr>
              <w:t xml:space="preserve">Strategic Priorities </w:t>
            </w:r>
            <w:r w:rsidR="00A53532">
              <w:rPr>
                <w:bCs/>
                <w:kern w:val="2"/>
                <w14:ligatures w14:val="standardContextual"/>
              </w:rPr>
              <w:t xml:space="preserve">project results and report have been </w:t>
            </w:r>
            <w:r>
              <w:rPr>
                <w:bCs/>
                <w:kern w:val="2"/>
                <w14:ligatures w14:val="standardContextual"/>
              </w:rPr>
              <w:t xml:space="preserve">received from </w:t>
            </w:r>
            <w:proofErr w:type="spellStart"/>
            <w:r>
              <w:rPr>
                <w:bCs/>
                <w:kern w:val="2"/>
                <w14:ligatures w14:val="standardContextual"/>
              </w:rPr>
              <w:t>Synapcity</w:t>
            </w:r>
            <w:proofErr w:type="spellEnd"/>
            <w:r w:rsidR="00A53532">
              <w:rPr>
                <w:bCs/>
                <w:kern w:val="2"/>
                <w14:ligatures w14:val="standardContextual"/>
              </w:rPr>
              <w:t xml:space="preserve">. </w:t>
            </w:r>
          </w:p>
          <w:p w14:paraId="629E78F2" w14:textId="77777777" w:rsidR="00340E93" w:rsidRDefault="00340E93" w:rsidP="00340E93">
            <w:pPr>
              <w:rPr>
                <w:bCs/>
                <w:kern w:val="2"/>
                <w14:ligatures w14:val="standardContextual"/>
              </w:rPr>
            </w:pPr>
          </w:p>
          <w:p w14:paraId="01EA36C9" w14:textId="77777777" w:rsidR="000112D2" w:rsidRDefault="000112D2" w:rsidP="00340E93">
            <w:pPr>
              <w:rPr>
                <w:bCs/>
                <w:kern w:val="2"/>
                <w14:ligatures w14:val="standardContextual"/>
              </w:rPr>
            </w:pPr>
          </w:p>
          <w:p w14:paraId="077A6263" w14:textId="77777777" w:rsidR="000112D2" w:rsidRDefault="000112D2" w:rsidP="00340E93">
            <w:pPr>
              <w:rPr>
                <w:bCs/>
                <w:kern w:val="2"/>
                <w14:ligatures w14:val="standardContextual"/>
              </w:rPr>
            </w:pPr>
          </w:p>
          <w:p w14:paraId="61E297DA" w14:textId="77777777" w:rsidR="000112D2" w:rsidRDefault="000112D2" w:rsidP="00340E93">
            <w:pPr>
              <w:rPr>
                <w:bCs/>
                <w:kern w:val="2"/>
                <w14:ligatures w14:val="standardContextual"/>
              </w:rPr>
            </w:pPr>
          </w:p>
          <w:p w14:paraId="1A951851" w14:textId="77777777" w:rsidR="00911AB3" w:rsidRDefault="00911AB3" w:rsidP="00340E93">
            <w:pPr>
              <w:rPr>
                <w:bCs/>
                <w:kern w:val="2"/>
                <w14:ligatures w14:val="standardContextual"/>
              </w:rPr>
            </w:pPr>
          </w:p>
          <w:p w14:paraId="7CB865F9" w14:textId="77777777" w:rsidR="00911AB3" w:rsidRDefault="00911AB3" w:rsidP="00340E93">
            <w:pPr>
              <w:rPr>
                <w:bCs/>
                <w:kern w:val="2"/>
                <w14:ligatures w14:val="standardContextual"/>
              </w:rPr>
            </w:pPr>
          </w:p>
          <w:p w14:paraId="606E8DA7" w14:textId="77777777" w:rsidR="00911AB3" w:rsidRDefault="00911AB3" w:rsidP="00340E93">
            <w:pPr>
              <w:rPr>
                <w:bCs/>
                <w:kern w:val="2"/>
                <w14:ligatures w14:val="standardContextual"/>
              </w:rPr>
            </w:pPr>
          </w:p>
          <w:p w14:paraId="2097EFED" w14:textId="77777777" w:rsidR="00911AB3" w:rsidRDefault="00911AB3" w:rsidP="00340E93">
            <w:pPr>
              <w:rPr>
                <w:bCs/>
                <w:kern w:val="2"/>
                <w14:ligatures w14:val="standardContextual"/>
              </w:rPr>
            </w:pPr>
          </w:p>
          <w:p w14:paraId="37E1D753" w14:textId="77777777" w:rsidR="00911AB3" w:rsidRDefault="00911AB3" w:rsidP="00340E93">
            <w:pPr>
              <w:rPr>
                <w:bCs/>
                <w:kern w:val="2"/>
                <w14:ligatures w14:val="standardContextual"/>
              </w:rPr>
            </w:pPr>
          </w:p>
          <w:p w14:paraId="329195A8" w14:textId="77777777" w:rsidR="0014686F" w:rsidRDefault="00340E93" w:rsidP="00911AB3">
            <w:pPr>
              <w:rPr>
                <w:bCs/>
                <w:kern w:val="2"/>
                <w14:ligatures w14:val="standardContextual"/>
              </w:rPr>
            </w:pPr>
            <w:r>
              <w:rPr>
                <w:bCs/>
                <w:kern w:val="2"/>
                <w14:ligatures w14:val="standardContextual"/>
              </w:rPr>
              <w:t xml:space="preserve">Good Neighbours Policy </w:t>
            </w:r>
            <w:r w:rsidR="00A53532">
              <w:rPr>
                <w:bCs/>
                <w:kern w:val="2"/>
                <w14:ligatures w14:val="standardContextual"/>
              </w:rPr>
              <w:t>h</w:t>
            </w:r>
            <w:r w:rsidR="0054417D">
              <w:rPr>
                <w:bCs/>
                <w:kern w:val="2"/>
                <w14:ligatures w14:val="standardContextual"/>
              </w:rPr>
              <w:t xml:space="preserve">as not yet been </w:t>
            </w:r>
            <w:r>
              <w:rPr>
                <w:bCs/>
                <w:kern w:val="2"/>
                <w14:ligatures w14:val="standardContextual"/>
              </w:rPr>
              <w:t xml:space="preserve">received from </w:t>
            </w:r>
            <w:proofErr w:type="spellStart"/>
            <w:r>
              <w:rPr>
                <w:bCs/>
                <w:kern w:val="2"/>
                <w14:ligatures w14:val="standardContextual"/>
              </w:rPr>
              <w:t>Synapcity</w:t>
            </w:r>
            <w:proofErr w:type="spellEnd"/>
            <w:r w:rsidR="0054417D">
              <w:rPr>
                <w:bCs/>
                <w:kern w:val="2"/>
                <w14:ligatures w14:val="standardContextual"/>
              </w:rPr>
              <w:t xml:space="preserve">, though they provided an excellent literature review. </w:t>
            </w:r>
            <w:r w:rsidR="00911AB3">
              <w:rPr>
                <w:bCs/>
                <w:kern w:val="2"/>
                <w14:ligatures w14:val="standardContextual"/>
              </w:rPr>
              <w:t xml:space="preserve">Not sure if they will receive any more documentation, but hopefully the report will come. </w:t>
            </w:r>
          </w:p>
          <w:p w14:paraId="0D03321E" w14:textId="51314F1B" w:rsidR="00250C7A" w:rsidRDefault="00250C7A" w:rsidP="00911AB3">
            <w:pPr>
              <w:rPr>
                <w:bCs/>
                <w:kern w:val="2"/>
                <w14:ligatures w14:val="standardContextual"/>
              </w:rPr>
            </w:pPr>
          </w:p>
        </w:tc>
        <w:tc>
          <w:tcPr>
            <w:tcW w:w="2735" w:type="dxa"/>
          </w:tcPr>
          <w:p w14:paraId="388D3E39" w14:textId="77777777" w:rsidR="00911AB3" w:rsidRDefault="000112D2" w:rsidP="0014686F">
            <w:r>
              <w:t xml:space="preserve">The Strategic Priorities output was not what was expected. It was suggested that the WG </w:t>
            </w:r>
            <w:proofErr w:type="gramStart"/>
            <w:r w:rsidR="008668E6">
              <w:t>take a look</w:t>
            </w:r>
            <w:proofErr w:type="gramEnd"/>
            <w:r w:rsidR="008668E6">
              <w:t xml:space="preserve"> to determine what is useful and present it, along with the initial work to the wider committee.</w:t>
            </w:r>
          </w:p>
          <w:p w14:paraId="0DA75754" w14:textId="77777777" w:rsidR="00911AB3" w:rsidRDefault="00911AB3" w:rsidP="0014686F"/>
          <w:p w14:paraId="6285E28B" w14:textId="77777777" w:rsidR="00911AB3" w:rsidRDefault="00911AB3" w:rsidP="0014686F"/>
          <w:p w14:paraId="4C2A22FA" w14:textId="77777777" w:rsidR="00911AB3" w:rsidRDefault="00911AB3" w:rsidP="0014686F"/>
          <w:p w14:paraId="4EA65A20" w14:textId="2F8D5CE1" w:rsidR="0014686F" w:rsidRDefault="00250C7A" w:rsidP="0014686F">
            <w:r>
              <w:t xml:space="preserve">Follow-up with </w:t>
            </w:r>
            <w:proofErr w:type="spellStart"/>
            <w:r>
              <w:t>Synapcity</w:t>
            </w:r>
            <w:proofErr w:type="spellEnd"/>
            <w:r>
              <w:t xml:space="preserve"> if they don’t receive anything soon. </w:t>
            </w:r>
          </w:p>
        </w:tc>
        <w:tc>
          <w:tcPr>
            <w:tcW w:w="2766" w:type="dxa"/>
          </w:tcPr>
          <w:p w14:paraId="7B0791A3" w14:textId="64060F36" w:rsidR="0014686F" w:rsidRDefault="008668E6" w:rsidP="0014686F">
            <w:r>
              <w:t>Calla will send the received output to the WG and schedule a meeting</w:t>
            </w:r>
            <w:r w:rsidR="00911AB3">
              <w:t xml:space="preserve"> to work on it. </w:t>
            </w:r>
          </w:p>
          <w:p w14:paraId="41FB3B2A" w14:textId="77777777" w:rsidR="00250C7A" w:rsidRDefault="00250C7A" w:rsidP="0014686F"/>
          <w:p w14:paraId="1775A7B2" w14:textId="77777777" w:rsidR="00250C7A" w:rsidRDefault="00250C7A" w:rsidP="0014686F"/>
          <w:p w14:paraId="32174C92" w14:textId="77777777" w:rsidR="00250C7A" w:rsidRDefault="00250C7A" w:rsidP="0014686F"/>
          <w:p w14:paraId="5622D1B3" w14:textId="77777777" w:rsidR="00250C7A" w:rsidRDefault="00250C7A" w:rsidP="0014686F"/>
          <w:p w14:paraId="216C43B1" w14:textId="77777777" w:rsidR="00250C7A" w:rsidRDefault="00250C7A" w:rsidP="0014686F"/>
          <w:p w14:paraId="771528E5" w14:textId="77777777" w:rsidR="00250C7A" w:rsidRDefault="00250C7A" w:rsidP="0014686F"/>
          <w:p w14:paraId="78B5DB28" w14:textId="77777777" w:rsidR="00250C7A" w:rsidRDefault="00250C7A" w:rsidP="0014686F"/>
          <w:p w14:paraId="2DF113F1" w14:textId="1327FB70" w:rsidR="00250C7A" w:rsidRDefault="00250C7A" w:rsidP="0014686F">
            <w:r>
              <w:t xml:space="preserve">Wendy will follow-up with </w:t>
            </w:r>
            <w:proofErr w:type="spellStart"/>
            <w:r>
              <w:t>Synapcity</w:t>
            </w:r>
            <w:proofErr w:type="spellEnd"/>
            <w:r>
              <w:t xml:space="preserve"> and, when the final report is received, send it to the WG to determine next steps. </w:t>
            </w:r>
          </w:p>
          <w:p w14:paraId="5EDC646D" w14:textId="5D30FDE0" w:rsidR="00250C7A" w:rsidRDefault="00250C7A" w:rsidP="0014686F"/>
        </w:tc>
      </w:tr>
      <w:tr w:rsidR="0014686F" w14:paraId="03B7A9C8" w14:textId="77777777" w:rsidTr="0014686F">
        <w:tc>
          <w:tcPr>
            <w:tcW w:w="2122" w:type="dxa"/>
            <w:shd w:val="clear" w:color="auto" w:fill="D9E2F3" w:themeFill="accent1" w:themeFillTint="33"/>
          </w:tcPr>
          <w:p w14:paraId="4E3D2EC5" w14:textId="3218003C" w:rsidR="00DD6AE6" w:rsidRDefault="0054417D" w:rsidP="00DD6AE6">
            <w:r>
              <w:t>Trust</w:t>
            </w:r>
            <w:r w:rsidR="00DD6AE6">
              <w:t>/ SHCLC Social Event</w:t>
            </w:r>
          </w:p>
          <w:p w14:paraId="27E63431" w14:textId="1C382CB6" w:rsidR="0014686F" w:rsidRDefault="0014686F" w:rsidP="0014686F"/>
        </w:tc>
        <w:tc>
          <w:tcPr>
            <w:tcW w:w="4353" w:type="dxa"/>
          </w:tcPr>
          <w:p w14:paraId="3ABEFF91" w14:textId="73EA55B8" w:rsidR="0054417D" w:rsidRDefault="0054417D" w:rsidP="0054417D">
            <w:r>
              <w:rPr>
                <w:bCs/>
                <w:kern w:val="2"/>
                <w14:ligatures w14:val="standardContextual"/>
              </w:rPr>
              <w:t>Sco</w:t>
            </w:r>
            <w:r w:rsidR="00F453BC">
              <w:rPr>
                <w:bCs/>
                <w:kern w:val="2"/>
                <w14:ligatures w14:val="standardContextual"/>
              </w:rPr>
              <w:t xml:space="preserve">tt brought up that at </w:t>
            </w:r>
            <w:r>
              <w:t xml:space="preserve">the last meeting there </w:t>
            </w:r>
            <w:r w:rsidR="00F453BC">
              <w:t xml:space="preserve">were </w:t>
            </w:r>
            <w:r>
              <w:t>some contentious topics, including trust. Wondering if to put on the agenda that we do something more conducive to interactions on the personal level. Feels that this would benefit the community.</w:t>
            </w:r>
          </w:p>
          <w:p w14:paraId="456D04A2" w14:textId="77777777" w:rsidR="0014686F" w:rsidRDefault="0014686F" w:rsidP="0014686F">
            <w:pPr>
              <w:rPr>
                <w:bCs/>
                <w:kern w:val="2"/>
                <w14:ligatures w14:val="standardContextual"/>
              </w:rPr>
            </w:pPr>
          </w:p>
        </w:tc>
        <w:tc>
          <w:tcPr>
            <w:tcW w:w="2735" w:type="dxa"/>
          </w:tcPr>
          <w:p w14:paraId="2864920C" w14:textId="77777777" w:rsidR="0014686F" w:rsidRDefault="001419DA" w:rsidP="0014686F">
            <w:r>
              <w:t xml:space="preserve">To be further discussed added to the April 16 agenda. </w:t>
            </w:r>
          </w:p>
          <w:p w14:paraId="352A0E17" w14:textId="77777777" w:rsidR="00C76ABB" w:rsidRDefault="00C76ABB" w:rsidP="0014686F"/>
          <w:p w14:paraId="0257839C" w14:textId="5929E146" w:rsidR="00C76ABB" w:rsidRDefault="00C76ABB" w:rsidP="0014686F">
            <w:r>
              <w:t xml:space="preserve">Rachel suggested holding a small BBQ for the committee in the yard at Centre 454. If that goes well, we could organize something larger and invite more community members. </w:t>
            </w:r>
          </w:p>
        </w:tc>
        <w:tc>
          <w:tcPr>
            <w:tcW w:w="2766" w:type="dxa"/>
          </w:tcPr>
          <w:p w14:paraId="7260B975" w14:textId="174C7CBF" w:rsidR="0014686F" w:rsidRDefault="001419DA" w:rsidP="0014686F">
            <w:r>
              <w:t xml:space="preserve">The Chairs will add a potential social event for discussion on the April 16 agenda. </w:t>
            </w:r>
          </w:p>
        </w:tc>
      </w:tr>
      <w:tr w:rsidR="0014686F" w14:paraId="3C193307" w14:textId="77777777" w:rsidTr="0014686F">
        <w:tc>
          <w:tcPr>
            <w:tcW w:w="2122" w:type="dxa"/>
            <w:shd w:val="clear" w:color="auto" w:fill="D9E2F3" w:themeFill="accent1" w:themeFillTint="33"/>
          </w:tcPr>
          <w:p w14:paraId="12B3B893" w14:textId="11797AEB" w:rsidR="0014686F" w:rsidRDefault="0014686F" w:rsidP="0014686F">
            <w:r>
              <w:t>CTS (Oasis/SWCHC) closure</w:t>
            </w:r>
          </w:p>
        </w:tc>
        <w:tc>
          <w:tcPr>
            <w:tcW w:w="4353" w:type="dxa"/>
          </w:tcPr>
          <w:p w14:paraId="67B224C0" w14:textId="40FAE6EB" w:rsidR="0014686F" w:rsidRDefault="0014686F" w:rsidP="0014686F">
            <w:r>
              <w:t xml:space="preserve">All services at SHCHC are open except the </w:t>
            </w:r>
            <w:r w:rsidR="00485577">
              <w:t xml:space="preserve">injection room, </w:t>
            </w:r>
            <w:r>
              <w:t>which was closed on February 27</w:t>
            </w:r>
            <w:r w:rsidRPr="00033CE7">
              <w:rPr>
                <w:vertAlign w:val="superscript"/>
              </w:rPr>
              <w:t>th</w:t>
            </w:r>
            <w:r w:rsidR="00323D17">
              <w:rPr>
                <w:vertAlign w:val="superscript"/>
              </w:rPr>
              <w:t xml:space="preserve"> </w:t>
            </w:r>
            <w:r w:rsidR="00323D17">
              <w:t xml:space="preserve">due to staff experiences health impacts from the fumes when the substances were being prepared for use. </w:t>
            </w:r>
          </w:p>
          <w:p w14:paraId="7798DAE6" w14:textId="77777777" w:rsidR="00323D17" w:rsidRDefault="00323D17" w:rsidP="0014686F"/>
          <w:p w14:paraId="7E0CCC83" w14:textId="3C033275" w:rsidR="00E51593" w:rsidRDefault="00E51593" w:rsidP="0014686F">
            <w:r>
              <w:t xml:space="preserve">Somerset West has received a temporary exemption </w:t>
            </w:r>
            <w:r w:rsidR="0040472C">
              <w:t xml:space="preserve">to use their outside space as an injection site. </w:t>
            </w:r>
          </w:p>
          <w:p w14:paraId="40949836" w14:textId="77777777" w:rsidR="0040472C" w:rsidRDefault="0040472C" w:rsidP="0014686F"/>
          <w:p w14:paraId="74A17EC1" w14:textId="3721074F" w:rsidR="0014686F" w:rsidRDefault="00E51593" w:rsidP="0014686F">
            <w:r>
              <w:t>T</w:t>
            </w:r>
            <w:r w:rsidR="0014686F">
              <w:t>here are</w:t>
            </w:r>
            <w:r>
              <w:t xml:space="preserve"> potential options for opening a temporary injection space</w:t>
            </w:r>
            <w:r w:rsidR="0014686F">
              <w:t xml:space="preserve"> outsid</w:t>
            </w:r>
            <w:r w:rsidR="0040472C">
              <w:t>e at Oasis</w:t>
            </w:r>
            <w:r w:rsidR="0014686F">
              <w:t xml:space="preserve">, but </w:t>
            </w:r>
            <w:r w:rsidR="00BE095D">
              <w:t xml:space="preserve">it will depend on how quickly the </w:t>
            </w:r>
            <w:r w:rsidR="000A626D">
              <w:t>changes to the injection room can be made.</w:t>
            </w:r>
          </w:p>
          <w:p w14:paraId="4470259F" w14:textId="77777777" w:rsidR="00BE095D" w:rsidRDefault="00BE095D" w:rsidP="0014686F"/>
          <w:p w14:paraId="765DA845" w14:textId="590987D9" w:rsidR="0014686F" w:rsidRDefault="0014686F" w:rsidP="0014686F">
            <w:r>
              <w:t xml:space="preserve">If the </w:t>
            </w:r>
            <w:r w:rsidR="000A626D">
              <w:t xml:space="preserve">injection room will be closed for a significant amount of time, Wendy will revisit </w:t>
            </w:r>
            <w:r w:rsidR="00D64470">
              <w:t>opening a temporary space outside</w:t>
            </w:r>
            <w:r w:rsidR="000A626D">
              <w:t xml:space="preserve"> with the </w:t>
            </w:r>
            <w:r w:rsidR="009F58E0">
              <w:t xml:space="preserve">SHCLC. </w:t>
            </w:r>
          </w:p>
          <w:p w14:paraId="4194C86A" w14:textId="77777777" w:rsidR="009F58E0" w:rsidRDefault="009F58E0" w:rsidP="0014686F"/>
          <w:p w14:paraId="46C3124E" w14:textId="49E925A1" w:rsidR="009F58E0" w:rsidRDefault="009F58E0" w:rsidP="0014686F">
            <w:r>
              <w:t xml:space="preserve">Wendy was clear that any changes being made to the injection room would be insufficient for a safe inhalation space in the future, as would any usage of the outside space under a temporary exemption. Safe inhalation spaces are not being approved at the provincial level right now. </w:t>
            </w:r>
          </w:p>
          <w:p w14:paraId="2A2ECB28" w14:textId="77777777" w:rsidR="009F58E0" w:rsidRDefault="009F58E0" w:rsidP="0014686F"/>
          <w:p w14:paraId="5DECE2B7" w14:textId="0C89AE22" w:rsidR="0014686F" w:rsidRDefault="0014686F" w:rsidP="0014686F">
            <w:r>
              <w:t>OPH has been doing increased community correspondence/surveillance during this period on the effects of the closure of the CTS’s.</w:t>
            </w:r>
            <w:r w:rsidR="004D3804">
              <w:t xml:space="preserve"> </w:t>
            </w:r>
          </w:p>
          <w:p w14:paraId="46C49DF2" w14:textId="77777777" w:rsidR="001B3FBF" w:rsidRDefault="001B3FBF" w:rsidP="0014686F"/>
          <w:p w14:paraId="7B25DB5E" w14:textId="5FBA0D5A" w:rsidR="0014686F" w:rsidRDefault="0014686F" w:rsidP="0014686F">
            <w:r>
              <w:t>There ha</w:t>
            </w:r>
            <w:r w:rsidR="007C3410">
              <w:t>ve</w:t>
            </w:r>
            <w:r>
              <w:t xml:space="preserve"> been two weekly summaries which indicates that there has been an increase of outdoor usage.</w:t>
            </w:r>
          </w:p>
          <w:p w14:paraId="7B226973" w14:textId="77777777" w:rsidR="00E55B9B" w:rsidRDefault="00E55B9B" w:rsidP="0014686F"/>
          <w:p w14:paraId="4F42EE04" w14:textId="0CF76F07" w:rsidR="0014686F" w:rsidRDefault="0014686F" w:rsidP="0014686F">
            <w:r>
              <w:t>There has been an increase of people using drugs in the library</w:t>
            </w:r>
            <w:r w:rsidR="00E55B9B">
              <w:t xml:space="preserve">, and </w:t>
            </w:r>
            <w:r w:rsidR="00837C34">
              <w:t xml:space="preserve">the </w:t>
            </w:r>
            <w:proofErr w:type="gramStart"/>
            <w:r w:rsidR="00837C34">
              <w:t xml:space="preserve">washrooms in </w:t>
            </w:r>
            <w:r w:rsidR="00837C34">
              <w:lastRenderedPageBreak/>
              <w:t>particular</w:t>
            </w:r>
            <w:proofErr w:type="gramEnd"/>
            <w:r w:rsidR="00837C34">
              <w:t>.</w:t>
            </w:r>
            <w:r>
              <w:t xml:space="preserve"> As well OPL has and will continue to offer online Naloxone training to residents. This has increased due to demand.</w:t>
            </w:r>
          </w:p>
          <w:p w14:paraId="13BC992D" w14:textId="2BF26A58" w:rsidR="0014686F" w:rsidRDefault="0014686F" w:rsidP="0014686F"/>
        </w:tc>
        <w:tc>
          <w:tcPr>
            <w:tcW w:w="2735" w:type="dxa"/>
          </w:tcPr>
          <w:p w14:paraId="5D4940FD" w14:textId="77777777" w:rsidR="0014686F" w:rsidRDefault="003E1CE4" w:rsidP="0014686F">
            <w:r>
              <w:lastRenderedPageBreak/>
              <w:t xml:space="preserve">The Chairs of ASH and LCA have received the reporting mechanism. Any observations and feedback from residents about </w:t>
            </w:r>
            <w:r>
              <w:lastRenderedPageBreak/>
              <w:t>neighbourhood changes can be sent through the community associations.</w:t>
            </w:r>
          </w:p>
          <w:p w14:paraId="1AC5321A" w14:textId="77777777" w:rsidR="003E1CE4" w:rsidRDefault="003E1CE4" w:rsidP="0014686F"/>
          <w:p w14:paraId="502CC07E" w14:textId="77777777" w:rsidR="003E1CE4" w:rsidRDefault="003E1CE4" w:rsidP="0014686F">
            <w:r>
              <w:t xml:space="preserve">Businesses and service providers have also received </w:t>
            </w:r>
            <w:r w:rsidR="00D64470">
              <w:t xml:space="preserve">the reporting mechanism from OPH. </w:t>
            </w:r>
          </w:p>
          <w:p w14:paraId="6AF6692F" w14:textId="77777777" w:rsidR="00B85AFA" w:rsidRDefault="00B85AFA" w:rsidP="0014686F"/>
          <w:p w14:paraId="53E50C38" w14:textId="77777777" w:rsidR="00B85AFA" w:rsidRDefault="00B85AFA" w:rsidP="0014686F">
            <w:r>
              <w:t xml:space="preserve">PWLLE can access the reporting mechanism through the service providers as well. </w:t>
            </w:r>
          </w:p>
          <w:p w14:paraId="05055682" w14:textId="77777777" w:rsidR="00B85AFA" w:rsidRDefault="00B85AFA" w:rsidP="0014686F"/>
          <w:p w14:paraId="25190040" w14:textId="77777777" w:rsidR="00B85AFA" w:rsidRDefault="00B85AFA" w:rsidP="0014686F">
            <w:r>
              <w:t xml:space="preserve">Kira indicated she would send the reporting mechanism to the SHCLC. </w:t>
            </w:r>
          </w:p>
          <w:p w14:paraId="595CB688" w14:textId="77777777" w:rsidR="00837C34" w:rsidRDefault="00837C34" w:rsidP="0014686F"/>
          <w:p w14:paraId="74AC22A7" w14:textId="77777777" w:rsidR="00837C34" w:rsidRDefault="00837C34" w:rsidP="0014686F">
            <w:r>
              <w:t xml:space="preserve">Wendy will follow-up with Tania to make sure OPL has the support needed to manage the situation. </w:t>
            </w:r>
          </w:p>
          <w:p w14:paraId="2A6B2509" w14:textId="77777777" w:rsidR="008B7C9F" w:rsidRDefault="008B7C9F" w:rsidP="0014686F"/>
          <w:p w14:paraId="454D088C" w14:textId="180E2500" w:rsidR="008B7C9F" w:rsidRDefault="008B7C9F" w:rsidP="0014686F">
            <w:r>
              <w:t xml:space="preserve">SHCHC will continue to update the Liaison committee as </w:t>
            </w:r>
            <w:r w:rsidR="00631C5E">
              <w:t xml:space="preserve">the situation progresses. </w:t>
            </w:r>
          </w:p>
        </w:tc>
        <w:tc>
          <w:tcPr>
            <w:tcW w:w="2766" w:type="dxa"/>
          </w:tcPr>
          <w:p w14:paraId="73C93E19" w14:textId="77777777" w:rsidR="0014686F" w:rsidRDefault="007C6CEE" w:rsidP="0014686F">
            <w:r>
              <w:lastRenderedPageBreak/>
              <w:t xml:space="preserve">OPH will continue to provide weekly surveillance reports until </w:t>
            </w:r>
            <w:proofErr w:type="gramStart"/>
            <w:r>
              <w:t>all of</w:t>
            </w:r>
            <w:proofErr w:type="gramEnd"/>
            <w:r>
              <w:t xml:space="preserve"> the sites have re-opened. </w:t>
            </w:r>
          </w:p>
          <w:p w14:paraId="271018B8" w14:textId="77777777" w:rsidR="007C6CEE" w:rsidRDefault="007C6CEE" w:rsidP="0014686F"/>
          <w:p w14:paraId="374DBB5A" w14:textId="79F43B24" w:rsidR="007C6CEE" w:rsidRDefault="007C6CEE" w:rsidP="0014686F">
            <w:r>
              <w:lastRenderedPageBreak/>
              <w:t>Updates on the situ</w:t>
            </w:r>
            <w:r w:rsidR="00D9304C">
              <w:t xml:space="preserve">ation will be provided at the next meeting. </w:t>
            </w:r>
          </w:p>
        </w:tc>
      </w:tr>
      <w:tr w:rsidR="0014686F" w14:paraId="414562F2" w14:textId="77777777" w:rsidTr="0014686F">
        <w:tc>
          <w:tcPr>
            <w:tcW w:w="2122" w:type="dxa"/>
            <w:shd w:val="clear" w:color="auto" w:fill="D9E2F3" w:themeFill="accent1" w:themeFillTint="33"/>
          </w:tcPr>
          <w:p w14:paraId="2DC76A63" w14:textId="514F556C" w:rsidR="0014686F" w:rsidRDefault="0014686F" w:rsidP="0014686F">
            <w:r>
              <w:lastRenderedPageBreak/>
              <w:t>OPS Presentation (no PPS, notes included)</w:t>
            </w:r>
          </w:p>
        </w:tc>
        <w:tc>
          <w:tcPr>
            <w:tcW w:w="4353" w:type="dxa"/>
          </w:tcPr>
          <w:p w14:paraId="33EF407E" w14:textId="266F5799" w:rsidR="0014686F" w:rsidRDefault="0014686F" w:rsidP="009E7643">
            <w:r>
              <w:t xml:space="preserve">Downtown </w:t>
            </w:r>
            <w:r w:rsidR="009E7643">
              <w:t xml:space="preserve">crime statistics </w:t>
            </w:r>
            <w:r>
              <w:t xml:space="preserve">are 300% higher in the </w:t>
            </w:r>
            <w:proofErr w:type="spellStart"/>
            <w:r>
              <w:t>Byward</w:t>
            </w:r>
            <w:proofErr w:type="spellEnd"/>
            <w:r>
              <w:t xml:space="preserve"> Market than the rest of the </w:t>
            </w:r>
            <w:proofErr w:type="gramStart"/>
            <w:r>
              <w:t>City</w:t>
            </w:r>
            <w:proofErr w:type="gramEnd"/>
            <w:r>
              <w:t>.</w:t>
            </w:r>
          </w:p>
          <w:p w14:paraId="7D154BA2" w14:textId="77777777" w:rsidR="009E7643" w:rsidRDefault="009E7643" w:rsidP="009E7643"/>
          <w:p w14:paraId="77793F1F" w14:textId="488812A6" w:rsidR="00FE3DAC" w:rsidRDefault="0014686F" w:rsidP="009E7643">
            <w:r>
              <w:t>Crimes are monitored on the Crime Severity Index.</w:t>
            </w:r>
            <w:r w:rsidR="00AF542F">
              <w:t xml:space="preserve"> </w:t>
            </w:r>
            <w:r w:rsidR="00FE3DAC">
              <w:t>The Index helps target where crime is occurring by neighbourhood, and even more specifically.</w:t>
            </w:r>
            <w:r>
              <w:t xml:space="preserve"> </w:t>
            </w:r>
            <w:r w:rsidR="00FE3DAC">
              <w:t xml:space="preserve">A high </w:t>
            </w:r>
            <w:r w:rsidR="00812FF3">
              <w:t xml:space="preserve">score in the Crime Severity Index indicates either </w:t>
            </w:r>
            <w:r w:rsidR="003E0414">
              <w:t xml:space="preserve">some high severity crimes (3-5, usually) or a multitude of petty crimes. </w:t>
            </w:r>
          </w:p>
          <w:p w14:paraId="5E6DF4FF" w14:textId="77777777" w:rsidR="00FE3DAC" w:rsidRDefault="00FE3DAC" w:rsidP="009E7643"/>
          <w:p w14:paraId="67C9286E" w14:textId="25925AFE" w:rsidR="009474E1" w:rsidRDefault="009474E1" w:rsidP="009E7643">
            <w:r>
              <w:t xml:space="preserve">In </w:t>
            </w:r>
            <w:proofErr w:type="spellStart"/>
            <w:r>
              <w:t>Byward</w:t>
            </w:r>
            <w:proofErr w:type="spellEnd"/>
            <w:r>
              <w:t xml:space="preserve"> Market, Sandy Hill and Lowertown it is predominantly </w:t>
            </w:r>
            <w:r w:rsidR="00727604">
              <w:t xml:space="preserve">petty crimes driving the high score on the Index. </w:t>
            </w:r>
          </w:p>
          <w:p w14:paraId="3B5F5076" w14:textId="77777777" w:rsidR="00727604" w:rsidRDefault="00727604" w:rsidP="009E7643"/>
          <w:p w14:paraId="1DF8BD85" w14:textId="01777270" w:rsidR="0014686F" w:rsidRDefault="0014686F" w:rsidP="009E7643">
            <w:r>
              <w:t xml:space="preserve">What is fundamentally driving this public health and social disorder issues in the Byward Market area who have substance use disorders and potentially mental health difficulties. </w:t>
            </w:r>
          </w:p>
          <w:p w14:paraId="52007FF4" w14:textId="77777777" w:rsidR="004F2155" w:rsidRDefault="004F2155" w:rsidP="004F2155"/>
          <w:p w14:paraId="4CC18853" w14:textId="07F01812" w:rsidR="004F2155" w:rsidRDefault="0014686F" w:rsidP="004F2155">
            <w:r>
              <w:t>As a result</w:t>
            </w:r>
            <w:r w:rsidR="004F2155">
              <w:t>, OPS recognizes that</w:t>
            </w:r>
            <w:r>
              <w:t xml:space="preserve"> people are </w:t>
            </w:r>
            <w:r w:rsidR="001C275E">
              <w:t>turning to petty</w:t>
            </w:r>
            <w:r>
              <w:t xml:space="preserve"> crime </w:t>
            </w:r>
            <w:proofErr w:type="gramStart"/>
            <w:r w:rsidR="001C275E">
              <w:t>as a way to</w:t>
            </w:r>
            <w:proofErr w:type="gramEnd"/>
            <w:r>
              <w:t xml:space="preserve"> support their needs</w:t>
            </w:r>
            <w:r w:rsidR="001C275E">
              <w:t xml:space="preserve">. </w:t>
            </w:r>
          </w:p>
          <w:p w14:paraId="4FEDA1F5" w14:textId="77777777" w:rsidR="004F2155" w:rsidRDefault="004F2155" w:rsidP="004F2155"/>
          <w:p w14:paraId="73FDE53E" w14:textId="2A8CFB86" w:rsidR="00862FD3" w:rsidRDefault="00862FD3" w:rsidP="004F2155">
            <w:r>
              <w:t xml:space="preserve">The OPS is understaffed and is working to strategically re-deploy police officers based on </w:t>
            </w:r>
            <w:r w:rsidR="00B36FCF">
              <w:t xml:space="preserve">indications in the Crime Severity Index. </w:t>
            </w:r>
          </w:p>
          <w:p w14:paraId="1A322299" w14:textId="77777777" w:rsidR="00B36FCF" w:rsidRDefault="00B36FCF" w:rsidP="004F2155"/>
          <w:p w14:paraId="34D8AF0D" w14:textId="77777777" w:rsidR="00B36FCF" w:rsidRDefault="0014686F" w:rsidP="004F2155">
            <w:r>
              <w:t xml:space="preserve">Objectives: </w:t>
            </w:r>
          </w:p>
          <w:p w14:paraId="290535A9" w14:textId="731FCE2B" w:rsidR="00B36FCF" w:rsidRDefault="0014686F" w:rsidP="004F2155">
            <w:r>
              <w:lastRenderedPageBreak/>
              <w:t>1</w:t>
            </w:r>
            <w:r w:rsidR="00B36FCF">
              <w:t>.</w:t>
            </w:r>
            <w:r>
              <w:t xml:space="preserve"> Reduce crime in the downtown core. </w:t>
            </w:r>
          </w:p>
          <w:p w14:paraId="3810E58B" w14:textId="77777777" w:rsidR="00B36FCF" w:rsidRDefault="00B36FCF" w:rsidP="004F2155"/>
          <w:p w14:paraId="5B4E528D" w14:textId="77777777" w:rsidR="00B36FCF" w:rsidRDefault="0014686F" w:rsidP="004F2155">
            <w:r>
              <w:t>2</w:t>
            </w:r>
            <w:r w:rsidR="00B36FCF">
              <w:t xml:space="preserve">. </w:t>
            </w:r>
            <w:r>
              <w:t xml:space="preserve">For people to feel safe. </w:t>
            </w:r>
          </w:p>
          <w:p w14:paraId="3129C612" w14:textId="77777777" w:rsidR="005261DC" w:rsidRDefault="005261DC" w:rsidP="004F2155"/>
          <w:p w14:paraId="5208646B" w14:textId="310BE901" w:rsidR="0014686F" w:rsidRDefault="0014686F" w:rsidP="004F2155">
            <w:r>
              <w:t>Less than half of the people living in the area do not feel safe leaving their homes after dark. This includes people who are</w:t>
            </w:r>
            <w:r w:rsidR="005261DC">
              <w:t xml:space="preserve"> PWLLE</w:t>
            </w:r>
            <w:r>
              <w:t>.</w:t>
            </w:r>
          </w:p>
          <w:p w14:paraId="6A01EFE5" w14:textId="77777777" w:rsidR="005261DC" w:rsidRDefault="005261DC" w:rsidP="005261DC"/>
          <w:p w14:paraId="2701306B" w14:textId="2C5F95C8" w:rsidR="0014686F" w:rsidRDefault="0014686F" w:rsidP="005261DC">
            <w:r>
              <w:t xml:space="preserve">Three things are needed for a crime to occur. These are offender, </w:t>
            </w:r>
            <w:proofErr w:type="gramStart"/>
            <w:r>
              <w:t>location</w:t>
            </w:r>
            <w:proofErr w:type="gramEnd"/>
            <w:r>
              <w:t xml:space="preserve"> and victims. </w:t>
            </w:r>
          </w:p>
          <w:p w14:paraId="73AB40A6" w14:textId="77777777" w:rsidR="0014686F" w:rsidRDefault="0014686F" w:rsidP="0014686F">
            <w:pPr>
              <w:pStyle w:val="ListParagraph"/>
              <w:numPr>
                <w:ilvl w:val="0"/>
                <w:numId w:val="11"/>
              </w:numPr>
            </w:pPr>
            <w:r>
              <w:t>Places: Where are the hot spots? Where are the crimes happening?</w:t>
            </w:r>
          </w:p>
          <w:p w14:paraId="0BDC20F6" w14:textId="77777777" w:rsidR="0014686F" w:rsidRDefault="0014686F" w:rsidP="0014686F">
            <w:pPr>
              <w:pStyle w:val="ListParagraph"/>
              <w:numPr>
                <w:ilvl w:val="0"/>
                <w:numId w:val="11"/>
              </w:numPr>
            </w:pPr>
            <w:r>
              <w:t>People: Speaking to the residents about their concerns in specific parts of the neighbourhood and community. This also involves people who are committing crimes.</w:t>
            </w:r>
          </w:p>
          <w:p w14:paraId="3D5717EB" w14:textId="77777777" w:rsidR="00213D3B" w:rsidRDefault="00213D3B" w:rsidP="00213D3B"/>
          <w:p w14:paraId="3B02F596" w14:textId="4D468E62" w:rsidR="00213D3B" w:rsidRDefault="00213D3B" w:rsidP="00213D3B">
            <w:r>
              <w:t>Solutions:</w:t>
            </w:r>
          </w:p>
          <w:p w14:paraId="40485CDE" w14:textId="77777777" w:rsidR="00213D3B" w:rsidRDefault="00213D3B" w:rsidP="00213D3B"/>
          <w:p w14:paraId="1AF6F680" w14:textId="77777777" w:rsidR="003F67D5" w:rsidRDefault="00213D3B" w:rsidP="00213D3B">
            <w:r>
              <w:t xml:space="preserve">1. </w:t>
            </w:r>
            <w:r w:rsidR="0014686F">
              <w:t>Police will</w:t>
            </w:r>
            <w:r>
              <w:t xml:space="preserve"> continue to</w:t>
            </w:r>
            <w:r w:rsidR="0014686F">
              <w:t xml:space="preserve"> arrest and charge dangerous people in the market who are committing </w:t>
            </w:r>
            <w:r>
              <w:t xml:space="preserve">violent </w:t>
            </w:r>
            <w:r w:rsidR="0014686F">
              <w:t xml:space="preserve">crimes. </w:t>
            </w:r>
          </w:p>
          <w:p w14:paraId="358A4A5F" w14:textId="77777777" w:rsidR="003F5A06" w:rsidRDefault="003F5A06" w:rsidP="00213D3B"/>
          <w:p w14:paraId="5CEA75DE" w14:textId="57B3FB40" w:rsidR="003F5A06" w:rsidRDefault="0014686F" w:rsidP="00213D3B">
            <w:r>
              <w:t xml:space="preserve">But there are others who commit crimes that aren’t </w:t>
            </w:r>
            <w:r w:rsidR="003F67D5">
              <w:t xml:space="preserve">violent and don’t pose an immediate threat to safety. </w:t>
            </w:r>
            <w:r w:rsidR="00AE4857">
              <w:t xml:space="preserve">These people are often PWLLE and </w:t>
            </w:r>
            <w:proofErr w:type="gramStart"/>
            <w:r w:rsidR="00AE4857">
              <w:t>entering into</w:t>
            </w:r>
            <w:proofErr w:type="gramEnd"/>
            <w:r w:rsidR="00AE4857">
              <w:t xml:space="preserve"> the justice system simply re-traumatizes them, which compounds the</w:t>
            </w:r>
            <w:r w:rsidR="003F5A06">
              <w:t xml:space="preserve"> issues they face. </w:t>
            </w:r>
          </w:p>
          <w:p w14:paraId="3B68F714" w14:textId="77777777" w:rsidR="0010301A" w:rsidRDefault="0010301A" w:rsidP="00213D3B"/>
          <w:p w14:paraId="69958B78" w14:textId="65EC759D" w:rsidR="003F5A06" w:rsidRDefault="0014686F" w:rsidP="00213D3B">
            <w:r>
              <w:t>Th</w:t>
            </w:r>
            <w:r w:rsidR="003F5A06">
              <w:t xml:space="preserve">ere hasn’t been a </w:t>
            </w:r>
            <w:r>
              <w:t>process to support these people.</w:t>
            </w:r>
          </w:p>
          <w:p w14:paraId="11FCB2AE" w14:textId="77777777" w:rsidR="003F5A06" w:rsidRDefault="003F5A06" w:rsidP="00213D3B"/>
          <w:p w14:paraId="1F997A98" w14:textId="77777777" w:rsidR="005F79A1" w:rsidRDefault="0010301A" w:rsidP="00213D3B">
            <w:r>
              <w:lastRenderedPageBreak/>
              <w:t>2. Paul, Kent, Wendy an</w:t>
            </w:r>
            <w:r w:rsidR="005F79A1">
              <w:t>d</w:t>
            </w:r>
            <w:r>
              <w:t xml:space="preserve"> other</w:t>
            </w:r>
            <w:r w:rsidR="005F79A1">
              <w:t xml:space="preserve"> health and support professionals </w:t>
            </w:r>
            <w:r>
              <w:t xml:space="preserve">have created </w:t>
            </w:r>
            <w:r w:rsidR="0014686F">
              <w:t>The Situation Table</w:t>
            </w:r>
            <w:r w:rsidR="005F79A1">
              <w:t xml:space="preserve">. </w:t>
            </w:r>
          </w:p>
          <w:p w14:paraId="6482233E" w14:textId="77777777" w:rsidR="005F79A1" w:rsidRDefault="005F79A1" w:rsidP="00213D3B"/>
          <w:p w14:paraId="16E92C33" w14:textId="576469E5" w:rsidR="0014686F" w:rsidRDefault="005F79A1" w:rsidP="00213D3B">
            <w:r>
              <w:t xml:space="preserve">It </w:t>
            </w:r>
            <w:r w:rsidR="0014686F">
              <w:t>is comprised of more than 33 social and health professionals to support the most at risk.</w:t>
            </w:r>
            <w:r w:rsidR="00665A73">
              <w:t xml:space="preserve"> These folks will come together to identify PWLLE who </w:t>
            </w:r>
            <w:proofErr w:type="gramStart"/>
            <w:r w:rsidR="00665A73">
              <w:t>are in need of</w:t>
            </w:r>
            <w:proofErr w:type="gramEnd"/>
            <w:r w:rsidR="00665A73">
              <w:t xml:space="preserve"> complex care and treat, then devise a </w:t>
            </w:r>
            <w:r w:rsidR="00F61FDD">
              <w:t xml:space="preserve">global plan for each individual identified. </w:t>
            </w:r>
          </w:p>
          <w:p w14:paraId="092B537B" w14:textId="77777777" w:rsidR="00665A73" w:rsidRDefault="00665A73" w:rsidP="00213D3B"/>
          <w:p w14:paraId="0A51682A" w14:textId="40E6DF8B" w:rsidR="0014686F" w:rsidRDefault="00F61FDD" w:rsidP="00665A73">
            <w:r>
              <w:t xml:space="preserve">3. </w:t>
            </w:r>
            <w:r w:rsidR="0014686F">
              <w:t>There will be new Crime Strategy in the Byward Market that will be rolled out by June 30</w:t>
            </w:r>
            <w:r w:rsidR="0014686F" w:rsidRPr="00665A73">
              <w:rPr>
                <w:vertAlign w:val="superscript"/>
              </w:rPr>
              <w:t>th</w:t>
            </w:r>
            <w:r>
              <w:rPr>
                <w:vertAlign w:val="superscript"/>
              </w:rPr>
              <w:t xml:space="preserve"> </w:t>
            </w:r>
            <w:r>
              <w:t xml:space="preserve">that implements the </w:t>
            </w:r>
            <w:r w:rsidR="00E87C11">
              <w:t xml:space="preserve">approach based on the </w:t>
            </w:r>
            <w:r>
              <w:t xml:space="preserve">targeted Criminal Activity Index </w:t>
            </w:r>
            <w:r w:rsidR="00E87C11">
              <w:t xml:space="preserve">and the Situation Table. </w:t>
            </w:r>
          </w:p>
          <w:p w14:paraId="56491F72" w14:textId="4BD1CBE0" w:rsidR="0014686F" w:rsidRDefault="0014686F" w:rsidP="0014686F"/>
        </w:tc>
        <w:tc>
          <w:tcPr>
            <w:tcW w:w="2735" w:type="dxa"/>
          </w:tcPr>
          <w:p w14:paraId="4E483D31" w14:textId="6E70F1AF" w:rsidR="0014686F" w:rsidRDefault="0014686F" w:rsidP="0014686F">
            <w:r>
              <w:lastRenderedPageBreak/>
              <w:t>None</w:t>
            </w:r>
          </w:p>
        </w:tc>
        <w:tc>
          <w:tcPr>
            <w:tcW w:w="2766" w:type="dxa"/>
          </w:tcPr>
          <w:p w14:paraId="44606667" w14:textId="5CA8DEE0" w:rsidR="0014686F" w:rsidRDefault="0014686F" w:rsidP="0014686F">
            <w:r>
              <w:t>None</w:t>
            </w:r>
          </w:p>
        </w:tc>
      </w:tr>
      <w:tr w:rsidR="0014686F" w14:paraId="65CEFA82" w14:textId="77777777" w:rsidTr="0014686F">
        <w:tc>
          <w:tcPr>
            <w:tcW w:w="2122" w:type="dxa"/>
            <w:shd w:val="clear" w:color="auto" w:fill="D9E2F3" w:themeFill="accent1" w:themeFillTint="33"/>
          </w:tcPr>
          <w:p w14:paraId="1DF1BC7A" w14:textId="2FBFD08B" w:rsidR="0014686F" w:rsidRDefault="0014686F" w:rsidP="0014686F">
            <w:r>
              <w:lastRenderedPageBreak/>
              <w:t>Wendy (Oasis)</w:t>
            </w:r>
          </w:p>
        </w:tc>
        <w:tc>
          <w:tcPr>
            <w:tcW w:w="4353" w:type="dxa"/>
          </w:tcPr>
          <w:p w14:paraId="342975A9" w14:textId="77777777" w:rsidR="0014686F" w:rsidRDefault="00F65354" w:rsidP="0014686F">
            <w:r>
              <w:t>Wendy provided a presentation about Oas</w:t>
            </w:r>
            <w:r w:rsidR="00605F08">
              <w:t xml:space="preserve">is, its programs, and how it fits into the SHCHC. </w:t>
            </w:r>
          </w:p>
          <w:p w14:paraId="7B98FC19" w14:textId="77777777" w:rsidR="00605F08" w:rsidRDefault="00605F08" w:rsidP="0014686F"/>
          <w:p w14:paraId="5DD850A3" w14:textId="55C1020A" w:rsidR="00605F08" w:rsidRDefault="00605F08" w:rsidP="0014686F">
            <w:r>
              <w:t xml:space="preserve">The presentation is included. </w:t>
            </w:r>
          </w:p>
        </w:tc>
        <w:tc>
          <w:tcPr>
            <w:tcW w:w="2735" w:type="dxa"/>
          </w:tcPr>
          <w:p w14:paraId="4E9A5F85" w14:textId="7DF4BD68" w:rsidR="0014686F" w:rsidRDefault="0014686F" w:rsidP="0014686F">
            <w:r>
              <w:t>None</w:t>
            </w:r>
          </w:p>
        </w:tc>
        <w:tc>
          <w:tcPr>
            <w:tcW w:w="2766" w:type="dxa"/>
          </w:tcPr>
          <w:p w14:paraId="134F5726" w14:textId="31134248" w:rsidR="0014686F" w:rsidRDefault="0014686F" w:rsidP="0014686F">
            <w:r>
              <w:t>None</w:t>
            </w:r>
          </w:p>
        </w:tc>
      </w:tr>
      <w:tr w:rsidR="00631C5E" w14:paraId="202C626C" w14:textId="77777777" w:rsidTr="0014686F">
        <w:tc>
          <w:tcPr>
            <w:tcW w:w="2122" w:type="dxa"/>
            <w:shd w:val="clear" w:color="auto" w:fill="D9E2F3" w:themeFill="accent1" w:themeFillTint="33"/>
          </w:tcPr>
          <w:p w14:paraId="7F63426A" w14:textId="2103058F" w:rsidR="00631C5E" w:rsidRDefault="00F84626" w:rsidP="0014686F">
            <w:r>
              <w:t>Agenda-Building</w:t>
            </w:r>
          </w:p>
        </w:tc>
        <w:tc>
          <w:tcPr>
            <w:tcW w:w="4353" w:type="dxa"/>
          </w:tcPr>
          <w:p w14:paraId="46D7A901" w14:textId="7BFE8B67" w:rsidR="00631C5E" w:rsidRDefault="00F84626" w:rsidP="0014686F">
            <w:r>
              <w:t xml:space="preserve">The Co-Chair asked invited committee members to propose ideas for the agenda for the next meeting. </w:t>
            </w:r>
          </w:p>
          <w:p w14:paraId="4DCECC11" w14:textId="77777777" w:rsidR="00F84626" w:rsidRDefault="00F84626" w:rsidP="0014686F"/>
          <w:p w14:paraId="1DF7E9D3" w14:textId="756B9AF0" w:rsidR="00F84626" w:rsidRDefault="00F84626" w:rsidP="0014686F"/>
        </w:tc>
        <w:tc>
          <w:tcPr>
            <w:tcW w:w="2735" w:type="dxa"/>
          </w:tcPr>
          <w:p w14:paraId="3BD6DFE6" w14:textId="0E9D70C0" w:rsidR="00631C5E" w:rsidRDefault="007264ED" w:rsidP="0014686F">
            <w:r>
              <w:t>A presentation from the Block Captains program is desired by all</w:t>
            </w:r>
            <w:r w:rsidR="00C4406D">
              <w:t xml:space="preserve">. </w:t>
            </w:r>
          </w:p>
          <w:p w14:paraId="01BE6BF4" w14:textId="77777777" w:rsidR="007264ED" w:rsidRDefault="007264ED" w:rsidP="0014686F"/>
          <w:p w14:paraId="45A13AD5" w14:textId="77777777" w:rsidR="007264ED" w:rsidRDefault="007264ED" w:rsidP="0014686F">
            <w:r>
              <w:t xml:space="preserve">We need to get back to action planning, making decisions, and moving forward. </w:t>
            </w:r>
          </w:p>
          <w:p w14:paraId="1B7D744F" w14:textId="77777777" w:rsidR="007264ED" w:rsidRDefault="007264ED" w:rsidP="0014686F"/>
          <w:p w14:paraId="4AD20D4E" w14:textId="0EE370E1" w:rsidR="002C30DC" w:rsidRDefault="002C30DC" w:rsidP="0014686F">
            <w:r>
              <w:t>Calla suggested picking up</w:t>
            </w:r>
            <w:r w:rsidR="007264ED">
              <w:t xml:space="preserve"> work on the </w:t>
            </w:r>
            <w:r>
              <w:t xml:space="preserve">two items that were prioritized and had been under discussion. </w:t>
            </w:r>
          </w:p>
        </w:tc>
        <w:tc>
          <w:tcPr>
            <w:tcW w:w="2766" w:type="dxa"/>
          </w:tcPr>
          <w:p w14:paraId="4D524B8A" w14:textId="77777777" w:rsidR="00631C5E" w:rsidRDefault="00C4406D" w:rsidP="0014686F">
            <w:r>
              <w:t xml:space="preserve">A presentation from the Block Captains program will be added to the agenda if they are willing to present. </w:t>
            </w:r>
          </w:p>
          <w:p w14:paraId="5F293050" w14:textId="77777777" w:rsidR="00C4406D" w:rsidRDefault="00C4406D" w:rsidP="0014686F"/>
          <w:p w14:paraId="53F59583" w14:textId="77777777" w:rsidR="00C4406D" w:rsidRDefault="00DE31CE" w:rsidP="0014686F">
            <w:r>
              <w:t xml:space="preserve">Committee members should send the Co-Chairs ideas for the next agenda, if they have anything they would like to add. </w:t>
            </w:r>
          </w:p>
          <w:p w14:paraId="2C8F0A30" w14:textId="77777777" w:rsidR="00DE31CE" w:rsidRDefault="00DE31CE" w:rsidP="0014686F"/>
          <w:p w14:paraId="77555860" w14:textId="7C764F5A" w:rsidR="00DE31CE" w:rsidRDefault="00DE31CE" w:rsidP="0014686F">
            <w:r>
              <w:t xml:space="preserve">The Planning Committee will consider </w:t>
            </w:r>
            <w:proofErr w:type="gramStart"/>
            <w:r>
              <w:t>all of</w:t>
            </w:r>
            <w:proofErr w:type="gramEnd"/>
            <w:r>
              <w:t xml:space="preserve"> the </w:t>
            </w:r>
            <w:r>
              <w:lastRenderedPageBreak/>
              <w:t xml:space="preserve">agenda items </w:t>
            </w:r>
            <w:r w:rsidR="00EF4C54">
              <w:t xml:space="preserve">in two weeks at their regular planning meeting. </w:t>
            </w:r>
          </w:p>
        </w:tc>
      </w:tr>
      <w:tr w:rsidR="0014686F" w14:paraId="5F38433B" w14:textId="77777777" w:rsidTr="0014686F">
        <w:tc>
          <w:tcPr>
            <w:tcW w:w="2122" w:type="dxa"/>
            <w:shd w:val="clear" w:color="auto" w:fill="FFFF00"/>
          </w:tcPr>
          <w:p w14:paraId="4D6EC375" w14:textId="77777777" w:rsidR="0014686F" w:rsidRPr="00BA353C" w:rsidRDefault="0014686F" w:rsidP="0014686F">
            <w:r w:rsidRPr="00BA353C">
              <w:lastRenderedPageBreak/>
              <w:t>Next Meeting</w:t>
            </w:r>
          </w:p>
        </w:tc>
        <w:tc>
          <w:tcPr>
            <w:tcW w:w="4353" w:type="dxa"/>
            <w:shd w:val="clear" w:color="auto" w:fill="FFFF00"/>
          </w:tcPr>
          <w:p w14:paraId="2D4D481B" w14:textId="048B56D1" w:rsidR="0014686F" w:rsidRPr="00BA353C" w:rsidRDefault="0014686F" w:rsidP="0014686F">
            <w:r>
              <w:t>April 1</w:t>
            </w:r>
            <w:r w:rsidR="007264ED">
              <w:t>6</w:t>
            </w:r>
            <w:r w:rsidRPr="00BA353C">
              <w:t>, 202</w:t>
            </w:r>
            <w:r>
              <w:t>4</w:t>
            </w:r>
            <w:r w:rsidRPr="00BA353C">
              <w:t xml:space="preserve"> – 5:30pm-730PM</w:t>
            </w:r>
          </w:p>
        </w:tc>
        <w:tc>
          <w:tcPr>
            <w:tcW w:w="5501" w:type="dxa"/>
            <w:gridSpan w:val="2"/>
            <w:shd w:val="clear" w:color="auto" w:fill="FFFF00"/>
          </w:tcPr>
          <w:p w14:paraId="08D3FD2B" w14:textId="77777777" w:rsidR="0014686F" w:rsidRPr="00BA353C" w:rsidRDefault="0014686F" w:rsidP="0014686F">
            <w:r w:rsidRPr="00BA353C">
              <w:rPr>
                <w:b/>
              </w:rPr>
              <w:t>Location:</w:t>
            </w:r>
            <w:r w:rsidRPr="00BA353C">
              <w:t xml:space="preserve"> Sandy Hill Community Health Centre; </w:t>
            </w:r>
          </w:p>
          <w:p w14:paraId="7ABDD243" w14:textId="7A6DBF9C" w:rsidR="0014686F" w:rsidRPr="00BA353C" w:rsidRDefault="0014686F" w:rsidP="0014686F"/>
        </w:tc>
      </w:tr>
    </w:tbl>
    <w:p w14:paraId="025BE8E9" w14:textId="3E6B9CDC" w:rsidR="00DE7B3C" w:rsidRPr="00AF542F" w:rsidRDefault="00DE7B3C" w:rsidP="00AF542F">
      <w:pPr>
        <w:rPr>
          <w:b/>
          <w:sz w:val="28"/>
          <w:szCs w:val="28"/>
          <w:u w:val="single"/>
        </w:rPr>
      </w:pPr>
    </w:p>
    <w:sectPr w:rsidR="00DE7B3C" w:rsidRPr="00AF542F" w:rsidSect="00E3129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B630F"/>
    <w:multiLevelType w:val="hybridMultilevel"/>
    <w:tmpl w:val="EA5EAB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1FA9"/>
    <w:multiLevelType w:val="hybridMultilevel"/>
    <w:tmpl w:val="A7F04846"/>
    <w:lvl w:ilvl="0" w:tplc="FC362620">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F64CE"/>
    <w:multiLevelType w:val="hybridMultilevel"/>
    <w:tmpl w:val="F4562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117DEF"/>
    <w:multiLevelType w:val="hybridMultilevel"/>
    <w:tmpl w:val="07F0F78E"/>
    <w:lvl w:ilvl="0" w:tplc="FC362620">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F0DAB"/>
    <w:multiLevelType w:val="hybridMultilevel"/>
    <w:tmpl w:val="99FCEA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AA78E3"/>
    <w:multiLevelType w:val="hybridMultilevel"/>
    <w:tmpl w:val="BBB2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74328"/>
    <w:multiLevelType w:val="hybridMultilevel"/>
    <w:tmpl w:val="61989B4E"/>
    <w:lvl w:ilvl="0" w:tplc="564E689A">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62316F"/>
    <w:multiLevelType w:val="hybridMultilevel"/>
    <w:tmpl w:val="8988B60E"/>
    <w:lvl w:ilvl="0" w:tplc="FC362620">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AB0FAE"/>
    <w:multiLevelType w:val="hybridMultilevel"/>
    <w:tmpl w:val="4F3880AA"/>
    <w:lvl w:ilvl="0" w:tplc="FC362620">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335227294">
    <w:abstractNumId w:val="0"/>
  </w:num>
  <w:num w:numId="2" w16cid:durableId="1545168620">
    <w:abstractNumId w:val="6"/>
  </w:num>
  <w:num w:numId="3" w16cid:durableId="1321613030">
    <w:abstractNumId w:val="4"/>
  </w:num>
  <w:num w:numId="4" w16cid:durableId="162209721">
    <w:abstractNumId w:val="1"/>
  </w:num>
  <w:num w:numId="5" w16cid:durableId="1700548227">
    <w:abstractNumId w:val="7"/>
  </w:num>
  <w:num w:numId="6" w16cid:durableId="812797316">
    <w:abstractNumId w:val="3"/>
  </w:num>
  <w:num w:numId="7" w16cid:durableId="1070812362">
    <w:abstractNumId w:val="8"/>
  </w:num>
  <w:num w:numId="8" w16cid:durableId="624428520">
    <w:abstractNumId w:val="3"/>
  </w:num>
  <w:num w:numId="9" w16cid:durableId="984819085">
    <w:abstractNumId w:val="7"/>
  </w:num>
  <w:num w:numId="10" w16cid:durableId="1148398287">
    <w:abstractNumId w:val="2"/>
  </w:num>
  <w:num w:numId="11" w16cid:durableId="1036657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97"/>
    <w:rsid w:val="00000BD0"/>
    <w:rsid w:val="00007B5F"/>
    <w:rsid w:val="000112D2"/>
    <w:rsid w:val="000640F7"/>
    <w:rsid w:val="000770BE"/>
    <w:rsid w:val="00087074"/>
    <w:rsid w:val="000A626D"/>
    <w:rsid w:val="000B7B19"/>
    <w:rsid w:val="000C485B"/>
    <w:rsid w:val="00100D30"/>
    <w:rsid w:val="0010301A"/>
    <w:rsid w:val="001064BB"/>
    <w:rsid w:val="0010760C"/>
    <w:rsid w:val="00134B98"/>
    <w:rsid w:val="001419DA"/>
    <w:rsid w:val="00143DD5"/>
    <w:rsid w:val="0014686F"/>
    <w:rsid w:val="00147EA9"/>
    <w:rsid w:val="001735D7"/>
    <w:rsid w:val="001B3FBF"/>
    <w:rsid w:val="001B52B7"/>
    <w:rsid w:val="001C275E"/>
    <w:rsid w:val="001E2232"/>
    <w:rsid w:val="00207636"/>
    <w:rsid w:val="00213D3B"/>
    <w:rsid w:val="00224E0C"/>
    <w:rsid w:val="00233CB2"/>
    <w:rsid w:val="00250C7A"/>
    <w:rsid w:val="0026077C"/>
    <w:rsid w:val="002C30DC"/>
    <w:rsid w:val="002D1BAE"/>
    <w:rsid w:val="002E123D"/>
    <w:rsid w:val="002F2464"/>
    <w:rsid w:val="003211A6"/>
    <w:rsid w:val="00323D17"/>
    <w:rsid w:val="00326100"/>
    <w:rsid w:val="003376FC"/>
    <w:rsid w:val="00340E93"/>
    <w:rsid w:val="00343087"/>
    <w:rsid w:val="00344B19"/>
    <w:rsid w:val="00344CF4"/>
    <w:rsid w:val="00372B7D"/>
    <w:rsid w:val="0037314B"/>
    <w:rsid w:val="00391BDF"/>
    <w:rsid w:val="003E0414"/>
    <w:rsid w:val="003E1CE4"/>
    <w:rsid w:val="003F5A06"/>
    <w:rsid w:val="003F66B6"/>
    <w:rsid w:val="003F67D5"/>
    <w:rsid w:val="0040472C"/>
    <w:rsid w:val="0043437A"/>
    <w:rsid w:val="00485577"/>
    <w:rsid w:val="00485C10"/>
    <w:rsid w:val="00486B14"/>
    <w:rsid w:val="004D3804"/>
    <w:rsid w:val="004D44B1"/>
    <w:rsid w:val="004E541A"/>
    <w:rsid w:val="004F2155"/>
    <w:rsid w:val="00507487"/>
    <w:rsid w:val="00523482"/>
    <w:rsid w:val="005261DC"/>
    <w:rsid w:val="00536CEA"/>
    <w:rsid w:val="00543E7E"/>
    <w:rsid w:val="0054417D"/>
    <w:rsid w:val="00546DFD"/>
    <w:rsid w:val="005826DA"/>
    <w:rsid w:val="005B3E9D"/>
    <w:rsid w:val="005B67C9"/>
    <w:rsid w:val="005C267B"/>
    <w:rsid w:val="005F3E6E"/>
    <w:rsid w:val="005F4242"/>
    <w:rsid w:val="005F4C85"/>
    <w:rsid w:val="005F79A1"/>
    <w:rsid w:val="00605F08"/>
    <w:rsid w:val="006119A2"/>
    <w:rsid w:val="00631C5E"/>
    <w:rsid w:val="00632C28"/>
    <w:rsid w:val="00653194"/>
    <w:rsid w:val="0065400A"/>
    <w:rsid w:val="00657DC1"/>
    <w:rsid w:val="00665A73"/>
    <w:rsid w:val="00676B69"/>
    <w:rsid w:val="006B38B4"/>
    <w:rsid w:val="006D17A9"/>
    <w:rsid w:val="006E0168"/>
    <w:rsid w:val="006F0285"/>
    <w:rsid w:val="007104A4"/>
    <w:rsid w:val="007127C1"/>
    <w:rsid w:val="007264ED"/>
    <w:rsid w:val="00727604"/>
    <w:rsid w:val="00737B2C"/>
    <w:rsid w:val="00750001"/>
    <w:rsid w:val="007642FF"/>
    <w:rsid w:val="00792BBB"/>
    <w:rsid w:val="007C3410"/>
    <w:rsid w:val="007C6CEE"/>
    <w:rsid w:val="008027B0"/>
    <w:rsid w:val="00812FF3"/>
    <w:rsid w:val="00837C34"/>
    <w:rsid w:val="00862FD3"/>
    <w:rsid w:val="00865C87"/>
    <w:rsid w:val="0086665F"/>
    <w:rsid w:val="008668E6"/>
    <w:rsid w:val="00874B42"/>
    <w:rsid w:val="0089670D"/>
    <w:rsid w:val="008B7C9F"/>
    <w:rsid w:val="008C455D"/>
    <w:rsid w:val="008D0048"/>
    <w:rsid w:val="008D02E4"/>
    <w:rsid w:val="008D0507"/>
    <w:rsid w:val="008D0FA3"/>
    <w:rsid w:val="008D6993"/>
    <w:rsid w:val="008E5CA6"/>
    <w:rsid w:val="00910674"/>
    <w:rsid w:val="009114C7"/>
    <w:rsid w:val="00911AB3"/>
    <w:rsid w:val="009137E0"/>
    <w:rsid w:val="009161F4"/>
    <w:rsid w:val="00916EAE"/>
    <w:rsid w:val="00936843"/>
    <w:rsid w:val="009474E1"/>
    <w:rsid w:val="00961D5C"/>
    <w:rsid w:val="0096513E"/>
    <w:rsid w:val="0098276C"/>
    <w:rsid w:val="009B3AE0"/>
    <w:rsid w:val="009B626A"/>
    <w:rsid w:val="009C0117"/>
    <w:rsid w:val="009D1511"/>
    <w:rsid w:val="009E7643"/>
    <w:rsid w:val="009F0487"/>
    <w:rsid w:val="009F38DD"/>
    <w:rsid w:val="009F58E0"/>
    <w:rsid w:val="00A05188"/>
    <w:rsid w:val="00A103F0"/>
    <w:rsid w:val="00A35055"/>
    <w:rsid w:val="00A46F32"/>
    <w:rsid w:val="00A53532"/>
    <w:rsid w:val="00A61D4D"/>
    <w:rsid w:val="00A662DE"/>
    <w:rsid w:val="00AA2423"/>
    <w:rsid w:val="00AB5126"/>
    <w:rsid w:val="00AD13D4"/>
    <w:rsid w:val="00AE4857"/>
    <w:rsid w:val="00AF542F"/>
    <w:rsid w:val="00B36FCF"/>
    <w:rsid w:val="00B62730"/>
    <w:rsid w:val="00B85AFA"/>
    <w:rsid w:val="00BA0E46"/>
    <w:rsid w:val="00BA353C"/>
    <w:rsid w:val="00BC2925"/>
    <w:rsid w:val="00BE095D"/>
    <w:rsid w:val="00C02B71"/>
    <w:rsid w:val="00C41DC0"/>
    <w:rsid w:val="00C4406D"/>
    <w:rsid w:val="00C53DE8"/>
    <w:rsid w:val="00C55229"/>
    <w:rsid w:val="00C76ABB"/>
    <w:rsid w:val="00C82153"/>
    <w:rsid w:val="00C82FA8"/>
    <w:rsid w:val="00CB0BD1"/>
    <w:rsid w:val="00CB43EF"/>
    <w:rsid w:val="00CC735D"/>
    <w:rsid w:val="00CE0509"/>
    <w:rsid w:val="00D01D3F"/>
    <w:rsid w:val="00D04F9E"/>
    <w:rsid w:val="00D22232"/>
    <w:rsid w:val="00D46CBE"/>
    <w:rsid w:val="00D64470"/>
    <w:rsid w:val="00D75E37"/>
    <w:rsid w:val="00D805E9"/>
    <w:rsid w:val="00D9304C"/>
    <w:rsid w:val="00DA61E0"/>
    <w:rsid w:val="00DD6AE6"/>
    <w:rsid w:val="00DE31CE"/>
    <w:rsid w:val="00DE7B3C"/>
    <w:rsid w:val="00DF319F"/>
    <w:rsid w:val="00DF4D62"/>
    <w:rsid w:val="00E31297"/>
    <w:rsid w:val="00E3355A"/>
    <w:rsid w:val="00E50A82"/>
    <w:rsid w:val="00E51593"/>
    <w:rsid w:val="00E55B9B"/>
    <w:rsid w:val="00E62B6B"/>
    <w:rsid w:val="00E75044"/>
    <w:rsid w:val="00E826B3"/>
    <w:rsid w:val="00E87C11"/>
    <w:rsid w:val="00EB7BA8"/>
    <w:rsid w:val="00EE2D20"/>
    <w:rsid w:val="00EF1FA8"/>
    <w:rsid w:val="00EF4C54"/>
    <w:rsid w:val="00F404D8"/>
    <w:rsid w:val="00F453BC"/>
    <w:rsid w:val="00F523C4"/>
    <w:rsid w:val="00F61FDD"/>
    <w:rsid w:val="00F65354"/>
    <w:rsid w:val="00F67F0E"/>
    <w:rsid w:val="00F84626"/>
    <w:rsid w:val="00F87F63"/>
    <w:rsid w:val="00FB13EA"/>
    <w:rsid w:val="00FE3D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97B9"/>
  <w15:chartTrackingRefBased/>
  <w15:docId w15:val="{71190926-F16F-48A5-BEA3-9600E10D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01"/>
  </w:style>
  <w:style w:type="paragraph" w:styleId="Heading2">
    <w:name w:val="heading 2"/>
    <w:basedOn w:val="Normal"/>
    <w:link w:val="Heading2Char"/>
    <w:uiPriority w:val="9"/>
    <w:qFormat/>
    <w:rsid w:val="00486B1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40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D6993"/>
    <w:rPr>
      <w:color w:val="0563C1" w:themeColor="hyperlink"/>
      <w:u w:val="single"/>
    </w:rPr>
  </w:style>
  <w:style w:type="character" w:styleId="UnresolvedMention">
    <w:name w:val="Unresolved Mention"/>
    <w:basedOn w:val="DefaultParagraphFont"/>
    <w:uiPriority w:val="99"/>
    <w:semiHidden/>
    <w:unhideWhenUsed/>
    <w:rsid w:val="008D6993"/>
    <w:rPr>
      <w:color w:val="605E5C"/>
      <w:shd w:val="clear" w:color="auto" w:fill="E1DFDD"/>
    </w:rPr>
  </w:style>
  <w:style w:type="paragraph" w:styleId="ListParagraph">
    <w:name w:val="List Paragraph"/>
    <w:basedOn w:val="Normal"/>
    <w:uiPriority w:val="34"/>
    <w:qFormat/>
    <w:rsid w:val="008D6993"/>
    <w:pPr>
      <w:ind w:left="720"/>
      <w:contextualSpacing/>
    </w:pPr>
  </w:style>
  <w:style w:type="character" w:customStyle="1" w:styleId="ui-provider">
    <w:name w:val="ui-provider"/>
    <w:basedOn w:val="DefaultParagraphFont"/>
    <w:rsid w:val="00F67F0E"/>
  </w:style>
  <w:style w:type="character" w:customStyle="1" w:styleId="Heading2Char">
    <w:name w:val="Heading 2 Char"/>
    <w:basedOn w:val="DefaultParagraphFont"/>
    <w:link w:val="Heading2"/>
    <w:uiPriority w:val="9"/>
    <w:rsid w:val="00486B14"/>
    <w:rPr>
      <w:rFonts w:ascii="Times New Roman" w:eastAsia="Times New Roman" w:hAnsi="Times New Roman" w:cs="Times New Roman"/>
      <w:b/>
      <w:bCs/>
      <w:sz w:val="36"/>
      <w:szCs w:val="36"/>
      <w:lang w:val="en-US"/>
    </w:rPr>
  </w:style>
  <w:style w:type="paragraph" w:styleId="Revision">
    <w:name w:val="Revision"/>
    <w:hidden/>
    <w:uiPriority w:val="99"/>
    <w:semiHidden/>
    <w:rsid w:val="00653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293162">
      <w:bodyDiv w:val="1"/>
      <w:marLeft w:val="0"/>
      <w:marRight w:val="0"/>
      <w:marTop w:val="0"/>
      <w:marBottom w:val="0"/>
      <w:divBdr>
        <w:top w:val="none" w:sz="0" w:space="0" w:color="auto"/>
        <w:left w:val="none" w:sz="0" w:space="0" w:color="auto"/>
        <w:bottom w:val="none" w:sz="0" w:space="0" w:color="auto"/>
        <w:right w:val="none" w:sz="0" w:space="0" w:color="auto"/>
      </w:divBdr>
    </w:div>
    <w:div w:id="874390577">
      <w:bodyDiv w:val="1"/>
      <w:marLeft w:val="0"/>
      <w:marRight w:val="0"/>
      <w:marTop w:val="0"/>
      <w:marBottom w:val="0"/>
      <w:divBdr>
        <w:top w:val="none" w:sz="0" w:space="0" w:color="auto"/>
        <w:left w:val="none" w:sz="0" w:space="0" w:color="auto"/>
        <w:bottom w:val="none" w:sz="0" w:space="0" w:color="auto"/>
        <w:right w:val="none" w:sz="0" w:space="0" w:color="auto"/>
      </w:divBdr>
    </w:div>
    <w:div w:id="2077240301">
      <w:bodyDiv w:val="1"/>
      <w:marLeft w:val="0"/>
      <w:marRight w:val="0"/>
      <w:marTop w:val="0"/>
      <w:marBottom w:val="0"/>
      <w:divBdr>
        <w:top w:val="none" w:sz="0" w:space="0" w:color="auto"/>
        <w:left w:val="none" w:sz="0" w:space="0" w:color="auto"/>
        <w:bottom w:val="none" w:sz="0" w:space="0" w:color="auto"/>
        <w:right w:val="none" w:sz="0" w:space="0" w:color="auto"/>
      </w:divBdr>
    </w:div>
    <w:div w:id="21463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yward-market.com/fa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AD6E3-DC45-41BE-97C6-67E42FB7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Sandy Hill Community Health Centre</Company>
  <LinksUpToDate>false</LinksUpToDate>
  <CharactersWithSpaces>10032</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4259868</vt:i4>
      </vt:variant>
      <vt:variant>
        <vt:i4>0</vt:i4>
      </vt:variant>
      <vt:variant>
        <vt:i4>0</vt:i4>
      </vt:variant>
      <vt:variant>
        <vt:i4>5</vt:i4>
      </vt:variant>
      <vt:variant>
        <vt:lpwstr>https://www.byward-market.com/faq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Stewart</dc:creator>
  <cp:keywords/>
  <dc:description/>
  <cp:lastModifiedBy>Calla Jeanne Barnett</cp:lastModifiedBy>
  <cp:revision>82</cp:revision>
  <dcterms:created xsi:type="dcterms:W3CDTF">2024-03-30T13:37:00Z</dcterms:created>
  <dcterms:modified xsi:type="dcterms:W3CDTF">2024-03-30T15:45:00Z</dcterms:modified>
</cp:coreProperties>
</file>