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2FF1" w14:textId="77777777" w:rsidR="000640F7" w:rsidRPr="000640F7" w:rsidRDefault="000640F7" w:rsidP="0006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40F7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CA"/>
        </w:rPr>
        <w:t>Sandy Hill Community Liaison Committee</w:t>
      </w:r>
    </w:p>
    <w:p w14:paraId="2AB234BA" w14:textId="2D03E97B" w:rsidR="000640F7" w:rsidRDefault="000640F7" w:rsidP="000640F7">
      <w:pPr>
        <w:jc w:val="center"/>
      </w:pPr>
      <w:r w:rsidRPr="000640F7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CA"/>
        </w:rPr>
        <w:t xml:space="preserve">Summary Notes from Meeting on </w:t>
      </w:r>
      <w:r w:rsidR="00BA0E4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CA"/>
        </w:rPr>
        <w:t>Jan 16</w:t>
      </w:r>
      <w:r w:rsidR="008E5CA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CA"/>
        </w:rPr>
        <w:t>,</w:t>
      </w:r>
      <w:r w:rsidR="005F4C85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CA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976"/>
        <w:gridCol w:w="3261"/>
      </w:tblGrid>
      <w:tr w:rsidR="000640F7" w14:paraId="617AADB8" w14:textId="77777777" w:rsidTr="001C308F">
        <w:trPr>
          <w:trHeight w:val="826"/>
        </w:trPr>
        <w:tc>
          <w:tcPr>
            <w:tcW w:w="11761" w:type="dxa"/>
            <w:gridSpan w:val="4"/>
          </w:tcPr>
          <w:p w14:paraId="119D86EF" w14:textId="0A20D3C0" w:rsidR="000640F7" w:rsidRPr="00C82153" w:rsidRDefault="000640F7" w:rsidP="00C82153">
            <w:pPr>
              <w:jc w:val="center"/>
              <w:rPr>
                <w:b/>
              </w:rPr>
            </w:pPr>
            <w:r w:rsidRPr="00C82153">
              <w:rPr>
                <w:b/>
              </w:rPr>
              <w:t># of Members Present:</w:t>
            </w:r>
            <w:r w:rsidR="008D6993" w:rsidRPr="00C82153">
              <w:rPr>
                <w:b/>
              </w:rPr>
              <w:t xml:space="preserve"> </w:t>
            </w:r>
          </w:p>
          <w:p w14:paraId="634E3D9D" w14:textId="67C17A1C" w:rsidR="000640F7" w:rsidRPr="00C82153" w:rsidRDefault="000640F7" w:rsidP="00C82153">
            <w:pPr>
              <w:jc w:val="center"/>
              <w:rPr>
                <w:b/>
              </w:rPr>
            </w:pPr>
            <w:r w:rsidRPr="00C82153">
              <w:rPr>
                <w:b/>
              </w:rPr>
              <w:t># of Members Absent and who:</w:t>
            </w:r>
            <w:r w:rsidR="008D6993" w:rsidRPr="00C82153">
              <w:rPr>
                <w:b/>
              </w:rPr>
              <w:t xml:space="preserve"> </w:t>
            </w:r>
          </w:p>
          <w:p w14:paraId="4B9E921E" w14:textId="6A2B4EAF" w:rsidR="000640F7" w:rsidRPr="00C82153" w:rsidRDefault="000640F7" w:rsidP="00C82153">
            <w:pPr>
              <w:jc w:val="center"/>
              <w:rPr>
                <w:b/>
              </w:rPr>
            </w:pPr>
            <w:r w:rsidRPr="00C82153">
              <w:rPr>
                <w:b/>
              </w:rPr>
              <w:t>Notes taken by:</w:t>
            </w:r>
            <w:r w:rsidR="008D6993" w:rsidRPr="00C82153">
              <w:rPr>
                <w:b/>
              </w:rPr>
              <w:t xml:space="preserve"> </w:t>
            </w:r>
            <w:r w:rsidR="00BA0E46">
              <w:rPr>
                <w:b/>
              </w:rPr>
              <w:t>Kent Hugh</w:t>
            </w:r>
          </w:p>
          <w:p w14:paraId="1D5859D3" w14:textId="1A767495" w:rsidR="000640F7" w:rsidRDefault="000640F7" w:rsidP="00C82153">
            <w:pPr>
              <w:jc w:val="center"/>
            </w:pPr>
            <w:r w:rsidRPr="00C82153">
              <w:rPr>
                <w:b/>
              </w:rPr>
              <w:t xml:space="preserve">Circulated for approval on: </w:t>
            </w:r>
          </w:p>
        </w:tc>
      </w:tr>
      <w:tr w:rsidR="00E31297" w14:paraId="0B39EA67" w14:textId="77777777" w:rsidTr="00C82153">
        <w:tc>
          <w:tcPr>
            <w:tcW w:w="2122" w:type="dxa"/>
            <w:shd w:val="clear" w:color="auto" w:fill="B4C6E7" w:themeFill="accent1" w:themeFillTint="66"/>
          </w:tcPr>
          <w:p w14:paraId="3A676348" w14:textId="77777777" w:rsidR="00E31297" w:rsidRDefault="00E31297">
            <w:r>
              <w:t>Agenda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B58892A" w14:textId="77777777" w:rsidR="00E31297" w:rsidRDefault="00E31297">
            <w:r>
              <w:t>Issues raised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7E92D916" w14:textId="77777777" w:rsidR="00E31297" w:rsidRDefault="00E31297">
            <w:r>
              <w:t>Decision/Recommendations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629F101C" w14:textId="77777777" w:rsidR="00E31297" w:rsidRDefault="00E31297">
            <w:r>
              <w:t>Next Steps</w:t>
            </w:r>
          </w:p>
        </w:tc>
      </w:tr>
      <w:tr w:rsidR="008D6993" w14:paraId="1EB46572" w14:textId="77777777" w:rsidTr="00C82153">
        <w:tc>
          <w:tcPr>
            <w:tcW w:w="2122" w:type="dxa"/>
            <w:shd w:val="clear" w:color="auto" w:fill="D9E2F3" w:themeFill="accent1" w:themeFillTint="33"/>
          </w:tcPr>
          <w:p w14:paraId="47E217EE" w14:textId="77777777" w:rsidR="008D6993" w:rsidRDefault="008D6993" w:rsidP="008D6993">
            <w:r>
              <w:t>Check In/Updates from Members</w:t>
            </w:r>
          </w:p>
        </w:tc>
        <w:tc>
          <w:tcPr>
            <w:tcW w:w="3402" w:type="dxa"/>
          </w:tcPr>
          <w:p w14:paraId="1EC0CFC9" w14:textId="77777777" w:rsidR="008D6993" w:rsidRDefault="00F67F0E" w:rsidP="008D6993">
            <w:r>
              <w:t xml:space="preserve">Belong Ottawa has been funded through the </w:t>
            </w:r>
            <w:r>
              <w:rPr>
                <w:rStyle w:val="ui-provider"/>
              </w:rPr>
              <w:t xml:space="preserve">Emerging Needs Funding </w:t>
            </w:r>
            <w:r>
              <w:t xml:space="preserve">to hire peer workers and </w:t>
            </w:r>
            <w:r w:rsidR="006119A2">
              <w:t>participants</w:t>
            </w:r>
            <w:r>
              <w:t xml:space="preserve"> to do a clean up of the area </w:t>
            </w:r>
            <w:r w:rsidR="006119A2">
              <w:t>around Centre 454.</w:t>
            </w:r>
          </w:p>
          <w:p w14:paraId="087BD145" w14:textId="61DF0E7A" w:rsidR="006119A2" w:rsidRDefault="006119A2" w:rsidP="008D6993">
            <w:r>
              <w:t xml:space="preserve">Clean up will occur 7 days a </w:t>
            </w:r>
            <w:r w:rsidR="00D75E37">
              <w:t>week.</w:t>
            </w:r>
          </w:p>
          <w:p w14:paraId="1B154341" w14:textId="5A3D95ED" w:rsidR="006119A2" w:rsidRDefault="006119A2" w:rsidP="008D6993">
            <w:r>
              <w:t xml:space="preserve">Clean up services will be provided by Peer Workers and Participants </w:t>
            </w:r>
            <w:r w:rsidR="00D75E37">
              <w:t xml:space="preserve">from </w:t>
            </w:r>
            <w:r>
              <w:t>Oasis/SHCHC</w:t>
            </w:r>
          </w:p>
          <w:p w14:paraId="3BEAA7A9" w14:textId="77777777" w:rsidR="006119A2" w:rsidRDefault="006119A2" w:rsidP="008D6993"/>
          <w:p w14:paraId="5E5A3F5F" w14:textId="77777777" w:rsidR="006119A2" w:rsidRDefault="006119A2" w:rsidP="008D6993">
            <w:pPr>
              <w:rPr>
                <w:vertAlign w:val="superscript"/>
              </w:rPr>
            </w:pPr>
            <w:r>
              <w:t>Public Works have advised that they are interested in coming to the next meeting on February 20</w:t>
            </w:r>
            <w:r w:rsidRPr="006119A2">
              <w:rPr>
                <w:vertAlign w:val="superscript"/>
              </w:rPr>
              <w:t>th</w:t>
            </w:r>
            <w:r>
              <w:rPr>
                <w:vertAlign w:val="superscript"/>
              </w:rPr>
              <w:t>.</w:t>
            </w:r>
          </w:p>
          <w:p w14:paraId="339BB4F1" w14:textId="77777777" w:rsidR="00486B14" w:rsidRDefault="00486B14" w:rsidP="008D6993">
            <w:pPr>
              <w:rPr>
                <w:vertAlign w:val="superscript"/>
              </w:rPr>
            </w:pPr>
          </w:p>
          <w:p w14:paraId="012EAA85" w14:textId="5DB8161E" w:rsidR="00486B14" w:rsidRDefault="00486B14" w:rsidP="00486B14">
            <w:pPr>
              <w:shd w:val="clear" w:color="auto" w:fill="FFFFFF"/>
              <w:outlineLvl w:val="1"/>
            </w:pPr>
            <w:proofErr w:type="spellStart"/>
            <w:r w:rsidRPr="00486B14">
              <w:t>Pocrnic</w:t>
            </w:r>
            <w:proofErr w:type="spellEnd"/>
            <w:r w:rsidRPr="00486B14">
              <w:t xml:space="preserve"> Realty Advisors Inc</w:t>
            </w:r>
            <w:r>
              <w:t xml:space="preserve"> (Shoppers) have advised that they are </w:t>
            </w:r>
            <w:proofErr w:type="gramStart"/>
            <w:r>
              <w:t>will</w:t>
            </w:r>
            <w:proofErr w:type="gramEnd"/>
            <w:r>
              <w:t xml:space="preserve"> to reconsider the installation of Needle Disposal Bin in the corner area across from 260 </w:t>
            </w:r>
            <w:proofErr w:type="spellStart"/>
            <w:r>
              <w:t>Besserer</w:t>
            </w:r>
            <w:proofErr w:type="spellEnd"/>
            <w:r>
              <w:t>.</w:t>
            </w:r>
          </w:p>
          <w:p w14:paraId="7A356A5E" w14:textId="6E3E8072" w:rsidR="00536CEA" w:rsidRDefault="00536CEA" w:rsidP="00486B14">
            <w:pPr>
              <w:shd w:val="clear" w:color="auto" w:fill="FFFFFF"/>
              <w:outlineLvl w:val="1"/>
            </w:pPr>
          </w:p>
          <w:p w14:paraId="6ED28F9F" w14:textId="461CC4E3" w:rsidR="00536CEA" w:rsidRDefault="00536CEA" w:rsidP="00486B14">
            <w:pPr>
              <w:shd w:val="clear" w:color="auto" w:fill="FFFFFF"/>
              <w:outlineLvl w:val="1"/>
            </w:pPr>
            <w:r>
              <w:t>SUAP Application status</w:t>
            </w:r>
          </w:p>
          <w:p w14:paraId="58BA0BEF" w14:textId="7468B6FF" w:rsidR="005C267B" w:rsidRDefault="005C267B" w:rsidP="00486B14">
            <w:pPr>
              <w:shd w:val="clear" w:color="auto" w:fill="FFFFFF"/>
              <w:outlineLvl w:val="1"/>
            </w:pPr>
          </w:p>
          <w:p w14:paraId="160FE5E4" w14:textId="59D9562B" w:rsidR="005C267B" w:rsidRDefault="005C267B" w:rsidP="005C267B">
            <w:pPr>
              <w:shd w:val="clear" w:color="auto" w:fill="FFFFFF"/>
              <w:outlineLvl w:val="1"/>
            </w:pPr>
            <w:r>
              <w:lastRenderedPageBreak/>
              <w:t>Kira advised that Dr. Etches has been meeting with Community Health Centres Bi-weekly.</w:t>
            </w:r>
          </w:p>
          <w:p w14:paraId="01CB9AEC" w14:textId="7B030767" w:rsidR="005C267B" w:rsidRDefault="005C267B" w:rsidP="005C267B">
            <w:pPr>
              <w:shd w:val="clear" w:color="auto" w:fill="FFFFFF"/>
              <w:outlineLvl w:val="1"/>
            </w:pPr>
          </w:p>
          <w:p w14:paraId="3E3FF90D" w14:textId="2EFE98ED" w:rsidR="005C267B" w:rsidRPr="00486B14" w:rsidRDefault="005C267B" w:rsidP="005C267B">
            <w:pPr>
              <w:shd w:val="clear" w:color="auto" w:fill="FFFFFF"/>
              <w:outlineLvl w:val="1"/>
            </w:pPr>
            <w:r>
              <w:t xml:space="preserve">Kira advised that she will no longer be </w:t>
            </w:r>
            <w:proofErr w:type="gramStart"/>
            <w:r>
              <w:t>attending</w:t>
            </w:r>
            <w:proofErr w:type="gramEnd"/>
            <w:r>
              <w:t xml:space="preserve"> and that Donna Casey will be taking her spot.</w:t>
            </w:r>
          </w:p>
          <w:p w14:paraId="70415968" w14:textId="77777777" w:rsidR="005C267B" w:rsidRDefault="005C267B" w:rsidP="00486B14">
            <w:pPr>
              <w:shd w:val="clear" w:color="auto" w:fill="FFFFFF"/>
              <w:outlineLvl w:val="1"/>
            </w:pPr>
          </w:p>
          <w:p w14:paraId="04DA015D" w14:textId="181D7609" w:rsidR="00536CEA" w:rsidRDefault="009D1511" w:rsidP="00486B14">
            <w:pPr>
              <w:shd w:val="clear" w:color="auto" w:fill="FFFFFF"/>
              <w:outlineLvl w:val="1"/>
            </w:pPr>
            <w:r>
              <w:t xml:space="preserve">Ottawa Protection Services have committed to handing out resources to Those Experiencing Homelessness, including blankets and community </w:t>
            </w:r>
            <w:r w:rsidR="00CB43EF">
              <w:t>resources.</w:t>
            </w:r>
          </w:p>
          <w:p w14:paraId="35E60697" w14:textId="37F4EC14" w:rsidR="00486B14" w:rsidRDefault="00486B14" w:rsidP="005C267B">
            <w:pPr>
              <w:shd w:val="clear" w:color="auto" w:fill="FFFFFF"/>
              <w:outlineLvl w:val="1"/>
            </w:pPr>
          </w:p>
        </w:tc>
        <w:tc>
          <w:tcPr>
            <w:tcW w:w="2976" w:type="dxa"/>
          </w:tcPr>
          <w:p w14:paraId="50E47653" w14:textId="77777777" w:rsidR="008D6993" w:rsidRDefault="006119A2" w:rsidP="008D6993">
            <w:r>
              <w:lastRenderedPageBreak/>
              <w:t xml:space="preserve">Program should be promoted/marketed through various mediums, including websites (ASH), </w:t>
            </w:r>
            <w:proofErr w:type="gramStart"/>
            <w:r>
              <w:t>Social Media</w:t>
            </w:r>
            <w:proofErr w:type="gramEnd"/>
            <w:r>
              <w:t>, flyers and word of mouth.</w:t>
            </w:r>
          </w:p>
          <w:p w14:paraId="6F438F96" w14:textId="77777777" w:rsidR="006119A2" w:rsidRDefault="006119A2" w:rsidP="008D6993"/>
          <w:p w14:paraId="267D9197" w14:textId="77777777" w:rsidR="006119A2" w:rsidRDefault="006119A2" w:rsidP="008D6993"/>
          <w:p w14:paraId="559CD6EA" w14:textId="77777777" w:rsidR="006119A2" w:rsidRDefault="006119A2" w:rsidP="008D6993"/>
          <w:p w14:paraId="45FD2CC9" w14:textId="77777777" w:rsidR="006119A2" w:rsidRDefault="006119A2" w:rsidP="008D6993"/>
          <w:p w14:paraId="0D6FDB7E" w14:textId="77777777" w:rsidR="006119A2" w:rsidRDefault="006119A2" w:rsidP="008D6993"/>
          <w:p w14:paraId="680F6EEC" w14:textId="77777777" w:rsidR="006119A2" w:rsidRDefault="006119A2" w:rsidP="008D6993">
            <w:r>
              <w:t xml:space="preserve">Public Works to </w:t>
            </w:r>
            <w:proofErr w:type="gramStart"/>
            <w:r>
              <w:t>at</w:t>
            </w:r>
            <w:r w:rsidR="00486B14">
              <w:t>tend</w:t>
            </w:r>
            <w:proofErr w:type="gramEnd"/>
          </w:p>
          <w:p w14:paraId="51856B25" w14:textId="77777777" w:rsidR="00486B14" w:rsidRDefault="00486B14" w:rsidP="008D6993"/>
          <w:p w14:paraId="06474482" w14:textId="77777777" w:rsidR="00486B14" w:rsidRDefault="00486B14" w:rsidP="008D6993"/>
          <w:p w14:paraId="03D7C4F0" w14:textId="77777777" w:rsidR="00486B14" w:rsidRDefault="00486B14" w:rsidP="008D6993"/>
          <w:p w14:paraId="7790E3F9" w14:textId="77777777" w:rsidR="00486B14" w:rsidRDefault="00486B14" w:rsidP="008D6993">
            <w:r>
              <w:t>Further discussion</w:t>
            </w:r>
          </w:p>
          <w:p w14:paraId="2ACE82E6" w14:textId="77777777" w:rsidR="00536CEA" w:rsidRDefault="00536CEA" w:rsidP="008D6993"/>
          <w:p w14:paraId="0D574292" w14:textId="77777777" w:rsidR="00536CEA" w:rsidRDefault="00536CEA" w:rsidP="008D6993"/>
          <w:p w14:paraId="3D078290" w14:textId="77777777" w:rsidR="00536CEA" w:rsidRDefault="00536CEA" w:rsidP="008D6993"/>
          <w:p w14:paraId="0793C8A9" w14:textId="77777777" w:rsidR="00536CEA" w:rsidRDefault="00536CEA" w:rsidP="008D6993"/>
          <w:p w14:paraId="64A63AC2" w14:textId="77777777" w:rsidR="00536CEA" w:rsidRDefault="00536CEA" w:rsidP="008D6993"/>
          <w:p w14:paraId="385AD378" w14:textId="77777777" w:rsidR="00536CEA" w:rsidRDefault="00536CEA" w:rsidP="008D6993"/>
          <w:p w14:paraId="1BFF058D" w14:textId="77777777" w:rsidR="00536CEA" w:rsidRDefault="00536CEA" w:rsidP="008D6993">
            <w:r>
              <w:t>None</w:t>
            </w:r>
          </w:p>
          <w:p w14:paraId="5C22D80A" w14:textId="77777777" w:rsidR="005C267B" w:rsidRDefault="005C267B" w:rsidP="008D6993"/>
          <w:p w14:paraId="48F76549" w14:textId="77777777" w:rsidR="005C267B" w:rsidRDefault="005C267B" w:rsidP="008D6993"/>
          <w:p w14:paraId="44B593AA" w14:textId="77777777" w:rsidR="005C267B" w:rsidRDefault="005C267B" w:rsidP="008D6993"/>
          <w:p w14:paraId="12EA2CB0" w14:textId="77777777" w:rsidR="00CB43EF" w:rsidRDefault="00CB43EF" w:rsidP="00CB43EF">
            <w:r>
              <w:lastRenderedPageBreak/>
              <w:t>Information Sharing</w:t>
            </w:r>
          </w:p>
          <w:p w14:paraId="7B420F4A" w14:textId="77777777" w:rsidR="005C267B" w:rsidRDefault="005C267B" w:rsidP="008D6993"/>
          <w:p w14:paraId="416DB3B6" w14:textId="77777777" w:rsidR="005C267B" w:rsidRDefault="005C267B" w:rsidP="008D6993"/>
          <w:p w14:paraId="54938E9A" w14:textId="77777777" w:rsidR="005C267B" w:rsidRDefault="005C267B" w:rsidP="008D6993"/>
          <w:p w14:paraId="3CC1127C" w14:textId="77777777" w:rsidR="00CB43EF" w:rsidRDefault="00CB43EF" w:rsidP="00CB43EF">
            <w:r>
              <w:t>Information Sharing</w:t>
            </w:r>
          </w:p>
          <w:p w14:paraId="3AEBEE12" w14:textId="77777777" w:rsidR="009D1511" w:rsidRDefault="009D1511" w:rsidP="008D6993"/>
          <w:p w14:paraId="42690148" w14:textId="77777777" w:rsidR="009D1511" w:rsidRDefault="009D1511" w:rsidP="008D6993"/>
          <w:p w14:paraId="5B782758" w14:textId="77777777" w:rsidR="009D1511" w:rsidRDefault="009D1511" w:rsidP="008D6993"/>
          <w:p w14:paraId="4D27DE9E" w14:textId="77777777" w:rsidR="00CB43EF" w:rsidRDefault="00CB43EF" w:rsidP="00CB43EF">
            <w:r>
              <w:t>Information Sharing</w:t>
            </w:r>
          </w:p>
          <w:p w14:paraId="5497A8FE" w14:textId="55EF01E0" w:rsidR="009D1511" w:rsidRDefault="009D1511" w:rsidP="008D6993"/>
        </w:tc>
        <w:tc>
          <w:tcPr>
            <w:tcW w:w="3261" w:type="dxa"/>
          </w:tcPr>
          <w:p w14:paraId="21FF5880" w14:textId="77777777" w:rsidR="00486B14" w:rsidRDefault="00486B14" w:rsidP="00C82153">
            <w:pPr>
              <w:rPr>
                <w:color w:val="FF0000"/>
              </w:rPr>
            </w:pPr>
          </w:p>
          <w:p w14:paraId="1238F41C" w14:textId="77777777" w:rsidR="00486B14" w:rsidRDefault="00486B14" w:rsidP="00C82153">
            <w:pPr>
              <w:rPr>
                <w:color w:val="FF0000"/>
              </w:rPr>
            </w:pPr>
          </w:p>
          <w:p w14:paraId="5CA90E5E" w14:textId="77777777" w:rsidR="00486B14" w:rsidRDefault="00486B14" w:rsidP="00C82153">
            <w:pPr>
              <w:rPr>
                <w:color w:val="FF0000"/>
              </w:rPr>
            </w:pPr>
          </w:p>
          <w:p w14:paraId="7702FB82" w14:textId="77777777" w:rsidR="00486B14" w:rsidRDefault="00486B14" w:rsidP="00C82153">
            <w:pPr>
              <w:rPr>
                <w:color w:val="FF0000"/>
              </w:rPr>
            </w:pPr>
          </w:p>
          <w:p w14:paraId="30B85C62" w14:textId="77777777" w:rsidR="00486B14" w:rsidRDefault="00486B14" w:rsidP="00C82153">
            <w:pPr>
              <w:rPr>
                <w:color w:val="FF0000"/>
              </w:rPr>
            </w:pPr>
          </w:p>
          <w:p w14:paraId="096335C6" w14:textId="77777777" w:rsidR="00486B14" w:rsidRDefault="00486B14" w:rsidP="00C82153">
            <w:pPr>
              <w:rPr>
                <w:color w:val="FF0000"/>
              </w:rPr>
            </w:pPr>
          </w:p>
          <w:p w14:paraId="698CBF60" w14:textId="77777777" w:rsidR="00486B14" w:rsidRDefault="00486B14" w:rsidP="00C82153">
            <w:pPr>
              <w:rPr>
                <w:color w:val="FF0000"/>
              </w:rPr>
            </w:pPr>
          </w:p>
          <w:p w14:paraId="4D6DA81E" w14:textId="77777777" w:rsidR="00486B14" w:rsidRDefault="00486B14" w:rsidP="00C82153">
            <w:pPr>
              <w:rPr>
                <w:color w:val="FF0000"/>
              </w:rPr>
            </w:pPr>
          </w:p>
          <w:p w14:paraId="1F307B99" w14:textId="77777777" w:rsidR="00486B14" w:rsidRDefault="00486B14" w:rsidP="00C82153">
            <w:pPr>
              <w:rPr>
                <w:color w:val="FF0000"/>
              </w:rPr>
            </w:pPr>
          </w:p>
          <w:p w14:paraId="2BA80719" w14:textId="71B45E17" w:rsidR="00486B14" w:rsidRDefault="00486B14" w:rsidP="00C82153">
            <w:r w:rsidRPr="00486B14">
              <w:t>Kent/Gerald to invite to meeting on Feb 20</w:t>
            </w:r>
            <w:r w:rsidR="00CB43EF">
              <w:t>.</w:t>
            </w:r>
          </w:p>
          <w:p w14:paraId="73FF9BFC" w14:textId="77777777" w:rsidR="00486B14" w:rsidRDefault="00486B14" w:rsidP="00C82153"/>
          <w:p w14:paraId="7133BDF2" w14:textId="77777777" w:rsidR="00486B14" w:rsidRDefault="00486B14" w:rsidP="00C82153"/>
          <w:p w14:paraId="7FB0B862" w14:textId="77777777" w:rsidR="00486B14" w:rsidRDefault="00486B14" w:rsidP="00C82153">
            <w:r>
              <w:t xml:space="preserve">Kent to follow up discussion with 260 </w:t>
            </w:r>
            <w:proofErr w:type="spellStart"/>
            <w:r>
              <w:t>Besserer</w:t>
            </w:r>
            <w:proofErr w:type="spellEnd"/>
            <w:r>
              <w:t xml:space="preserve"> (David Mackay), OPH and PRA to determine next steps if any.</w:t>
            </w:r>
          </w:p>
          <w:p w14:paraId="29E4E384" w14:textId="77777777" w:rsidR="00536CEA" w:rsidRDefault="00536CEA" w:rsidP="00C82153">
            <w:r>
              <w:t>Feedback to be returned to committee for discussion?</w:t>
            </w:r>
          </w:p>
          <w:p w14:paraId="0805BA48" w14:textId="77777777" w:rsidR="00536CEA" w:rsidRDefault="00536CEA" w:rsidP="00C82153"/>
          <w:p w14:paraId="668556BD" w14:textId="77777777" w:rsidR="00536CEA" w:rsidRDefault="00536CEA" w:rsidP="00C82153">
            <w:r>
              <w:t>Wendy stated that she will follow up with Mona Fortier’s office.</w:t>
            </w:r>
          </w:p>
          <w:p w14:paraId="3077CEE7" w14:textId="77777777" w:rsidR="005C267B" w:rsidRDefault="005C267B" w:rsidP="00C82153"/>
          <w:p w14:paraId="3A1EFE50" w14:textId="77777777" w:rsidR="005C267B" w:rsidRDefault="005C267B" w:rsidP="00C82153"/>
          <w:p w14:paraId="5F4903BA" w14:textId="1E0AD8F3" w:rsidR="005C267B" w:rsidRDefault="00CB43EF" w:rsidP="00C82153">
            <w:r>
              <w:t>None</w:t>
            </w:r>
          </w:p>
          <w:p w14:paraId="7D070E5A" w14:textId="77777777" w:rsidR="005C267B" w:rsidRDefault="005C267B" w:rsidP="00C82153"/>
          <w:p w14:paraId="31955011" w14:textId="77777777" w:rsidR="005C267B" w:rsidRDefault="005C267B" w:rsidP="00C82153"/>
          <w:p w14:paraId="12C1ECE1" w14:textId="77777777" w:rsidR="005C267B" w:rsidRDefault="005C267B" w:rsidP="00C82153"/>
          <w:p w14:paraId="0ACB8AEE" w14:textId="77777777" w:rsidR="00CB43EF" w:rsidRDefault="00CB43EF" w:rsidP="00CB43EF">
            <w:r>
              <w:t>None</w:t>
            </w:r>
          </w:p>
          <w:p w14:paraId="2779F202" w14:textId="77777777" w:rsidR="009D1511" w:rsidRDefault="009D1511" w:rsidP="00C82153"/>
          <w:p w14:paraId="73D7404C" w14:textId="77777777" w:rsidR="009D1511" w:rsidRDefault="009D1511" w:rsidP="00C82153"/>
          <w:p w14:paraId="2F20BE24" w14:textId="77777777" w:rsidR="009D1511" w:rsidRDefault="009D1511" w:rsidP="00C82153"/>
          <w:p w14:paraId="5DC091AD" w14:textId="77777777" w:rsidR="00CB43EF" w:rsidRDefault="00CB43EF" w:rsidP="00CB43EF">
            <w:r>
              <w:t>None</w:t>
            </w:r>
          </w:p>
          <w:p w14:paraId="10802266" w14:textId="3D9D7C91" w:rsidR="009D1511" w:rsidRDefault="009D1511" w:rsidP="00C82153"/>
        </w:tc>
      </w:tr>
      <w:tr w:rsidR="005F4C85" w14:paraId="59C9F34B" w14:textId="77777777" w:rsidTr="00C82153">
        <w:tc>
          <w:tcPr>
            <w:tcW w:w="2122" w:type="dxa"/>
            <w:shd w:val="clear" w:color="auto" w:fill="D9E2F3" w:themeFill="accent1" w:themeFillTint="33"/>
          </w:tcPr>
          <w:p w14:paraId="09A47759" w14:textId="77777777" w:rsidR="005F4C85" w:rsidRDefault="005F4C85" w:rsidP="005F4C85">
            <w:r>
              <w:lastRenderedPageBreak/>
              <w:t>Review of Mindfulness</w:t>
            </w:r>
          </w:p>
        </w:tc>
        <w:tc>
          <w:tcPr>
            <w:tcW w:w="3402" w:type="dxa"/>
          </w:tcPr>
          <w:p w14:paraId="058335E7" w14:textId="77777777" w:rsidR="005F4C85" w:rsidRDefault="005F4C85" w:rsidP="005F4C85">
            <w:r>
              <w:t>What are you grateful for as part of this Committee?</w:t>
            </w:r>
          </w:p>
        </w:tc>
        <w:tc>
          <w:tcPr>
            <w:tcW w:w="2976" w:type="dxa"/>
          </w:tcPr>
          <w:p w14:paraId="15B7849C" w14:textId="0A78180B" w:rsidR="005F4C85" w:rsidRDefault="005F4C85" w:rsidP="005F4C85">
            <w:r>
              <w:t>Coming together to create some change.  There is something moving, making thi</w:t>
            </w:r>
            <w:r w:rsidR="009114C7">
              <w:t>n</w:t>
            </w:r>
            <w:r>
              <w:t>gs better for everyone, grateful for dialogue, know and understand different perspective</w:t>
            </w:r>
            <w:r w:rsidR="004B0BE5">
              <w:t>s.</w:t>
            </w:r>
          </w:p>
        </w:tc>
        <w:tc>
          <w:tcPr>
            <w:tcW w:w="3261" w:type="dxa"/>
          </w:tcPr>
          <w:p w14:paraId="3C671629" w14:textId="77777777" w:rsidR="005F4C85" w:rsidRDefault="00C82153" w:rsidP="005F4C85">
            <w:r>
              <w:t>None</w:t>
            </w:r>
          </w:p>
        </w:tc>
      </w:tr>
      <w:tr w:rsidR="008D6993" w14:paraId="76F43C21" w14:textId="77777777" w:rsidTr="00C82153">
        <w:tc>
          <w:tcPr>
            <w:tcW w:w="2122" w:type="dxa"/>
            <w:shd w:val="clear" w:color="auto" w:fill="D9E2F3" w:themeFill="accent1" w:themeFillTint="33"/>
          </w:tcPr>
          <w:p w14:paraId="33875A44" w14:textId="5DB196D1" w:rsidR="008D6993" w:rsidRDefault="00F67F0E" w:rsidP="008D6993">
            <w:bookmarkStart w:id="0" w:name="_Hlk152696122"/>
            <w:r w:rsidRPr="00F67F0E">
              <w:t>Review of Consensus &amp; Observer Role Protocol</w:t>
            </w:r>
          </w:p>
        </w:tc>
        <w:tc>
          <w:tcPr>
            <w:tcW w:w="3402" w:type="dxa"/>
          </w:tcPr>
          <w:p w14:paraId="149907A6" w14:textId="6C12D473" w:rsidR="00D22232" w:rsidRDefault="00C55229" w:rsidP="00F67F0E">
            <w:r w:rsidRPr="00C55229">
              <w:t>Review of Consensus &amp; Observer Role Protocol</w:t>
            </w:r>
          </w:p>
          <w:p w14:paraId="6F054182" w14:textId="37AF1C53" w:rsidR="00D22232" w:rsidRDefault="00D22232" w:rsidP="00F67F0E"/>
          <w:p w14:paraId="53DE7EFB" w14:textId="19BA536E" w:rsidR="00D22232" w:rsidRDefault="00D22232" w:rsidP="00F67F0E"/>
          <w:p w14:paraId="1B275016" w14:textId="77777777" w:rsidR="00C55229" w:rsidRDefault="00C55229" w:rsidP="00F67F0E"/>
          <w:p w14:paraId="58123C20" w14:textId="77777777" w:rsidR="00C55229" w:rsidRDefault="00C55229" w:rsidP="00F67F0E"/>
          <w:p w14:paraId="72CD4F6E" w14:textId="77777777" w:rsidR="00C55229" w:rsidRDefault="00C55229" w:rsidP="00F67F0E"/>
          <w:p w14:paraId="7AF6C42D" w14:textId="77777777" w:rsidR="00C55229" w:rsidRDefault="00C55229" w:rsidP="00F67F0E"/>
          <w:p w14:paraId="558B81D4" w14:textId="77777777" w:rsidR="00C55229" w:rsidRDefault="00C55229" w:rsidP="00F67F0E"/>
          <w:p w14:paraId="037C5CA3" w14:textId="77777777" w:rsidR="00C55229" w:rsidRDefault="00C55229" w:rsidP="00F67F0E"/>
          <w:p w14:paraId="2B3C10BE" w14:textId="77777777" w:rsidR="00C55229" w:rsidRDefault="00C55229" w:rsidP="00F67F0E"/>
          <w:p w14:paraId="1C1F5A30" w14:textId="54FA8E90" w:rsidR="00D22232" w:rsidRDefault="00D22232" w:rsidP="00F67F0E">
            <w:r>
              <w:t>Levels of Consensus</w:t>
            </w:r>
          </w:p>
          <w:p w14:paraId="4490C958" w14:textId="77777777" w:rsidR="00D22232" w:rsidRPr="00F67F0E" w:rsidRDefault="00D22232" w:rsidP="00F67F0E"/>
          <w:p w14:paraId="075799E8" w14:textId="77777777" w:rsidR="0065400A" w:rsidRDefault="0065400A" w:rsidP="008D6993">
            <w:pPr>
              <w:rPr>
                <w:bCs/>
                <w:kern w:val="2"/>
                <w14:ligatures w14:val="standardContextual"/>
              </w:rPr>
            </w:pPr>
          </w:p>
          <w:p w14:paraId="20B3DEC9" w14:textId="77777777" w:rsidR="009B3AE0" w:rsidRDefault="009B3AE0" w:rsidP="008D6993">
            <w:pPr>
              <w:rPr>
                <w:bCs/>
                <w:kern w:val="2"/>
                <w14:ligatures w14:val="standardContextual"/>
              </w:rPr>
            </w:pPr>
          </w:p>
          <w:p w14:paraId="708BDFB3" w14:textId="77777777" w:rsidR="009B3AE0" w:rsidRDefault="009B3AE0" w:rsidP="008D6993">
            <w:pPr>
              <w:rPr>
                <w:bCs/>
                <w:kern w:val="2"/>
                <w14:ligatures w14:val="standardContextual"/>
              </w:rPr>
            </w:pPr>
          </w:p>
          <w:p w14:paraId="6409AA8A" w14:textId="77777777" w:rsidR="009B3AE0" w:rsidRDefault="009B3AE0" w:rsidP="008D6993">
            <w:pPr>
              <w:rPr>
                <w:bCs/>
                <w:kern w:val="2"/>
                <w14:ligatures w14:val="standardContextual"/>
              </w:rPr>
            </w:pPr>
          </w:p>
          <w:p w14:paraId="7A0BC75E" w14:textId="77777777" w:rsidR="009B3AE0" w:rsidRDefault="009B3AE0" w:rsidP="008D6993">
            <w:pPr>
              <w:rPr>
                <w:bCs/>
                <w:kern w:val="2"/>
                <w14:ligatures w14:val="standardContextual"/>
              </w:rPr>
            </w:pPr>
          </w:p>
          <w:p w14:paraId="778AA993" w14:textId="77777777" w:rsidR="009B3AE0" w:rsidRDefault="009B3AE0" w:rsidP="008D6993">
            <w:pPr>
              <w:rPr>
                <w:bCs/>
                <w:kern w:val="2"/>
                <w14:ligatures w14:val="standardContextual"/>
              </w:rPr>
            </w:pPr>
          </w:p>
          <w:p w14:paraId="7A0CF954" w14:textId="77777777" w:rsidR="009B3AE0" w:rsidRDefault="009B3AE0" w:rsidP="008D6993">
            <w:pPr>
              <w:rPr>
                <w:bCs/>
                <w:kern w:val="2"/>
                <w14:ligatures w14:val="standardContextual"/>
              </w:rPr>
            </w:pPr>
          </w:p>
          <w:p w14:paraId="6CA89B97" w14:textId="77777777" w:rsidR="009B3AE0" w:rsidRDefault="009B3AE0" w:rsidP="008D6993">
            <w:pPr>
              <w:rPr>
                <w:bCs/>
                <w:kern w:val="2"/>
                <w14:ligatures w14:val="standardContextual"/>
              </w:rPr>
            </w:pPr>
          </w:p>
          <w:p w14:paraId="2C42149D" w14:textId="77777777" w:rsidR="009B3AE0" w:rsidRDefault="009B3AE0" w:rsidP="008D6993">
            <w:pPr>
              <w:rPr>
                <w:bCs/>
                <w:kern w:val="2"/>
                <w14:ligatures w14:val="standardContextual"/>
              </w:rPr>
            </w:pPr>
          </w:p>
          <w:p w14:paraId="5248172D" w14:textId="128CC3EA" w:rsidR="009B3AE0" w:rsidRDefault="009B3AE0" w:rsidP="008D6993">
            <w:pPr>
              <w:rPr>
                <w:bCs/>
                <w:kern w:val="2"/>
                <w14:ligatures w14:val="standardContextual"/>
              </w:rPr>
            </w:pPr>
            <w:r>
              <w:rPr>
                <w:bCs/>
                <w:kern w:val="2"/>
                <w14:ligatures w14:val="standardContextual"/>
              </w:rPr>
              <w:t>Consensus Members choosing to leave the committee.</w:t>
            </w:r>
          </w:p>
          <w:p w14:paraId="6A9EAA42" w14:textId="7E1DA4CC" w:rsidR="009B3AE0" w:rsidRPr="0065400A" w:rsidRDefault="009B3AE0" w:rsidP="008D6993">
            <w:pPr>
              <w:rPr>
                <w:bCs/>
                <w:kern w:val="2"/>
                <w14:ligatures w14:val="standardContextual"/>
              </w:rPr>
            </w:pPr>
          </w:p>
        </w:tc>
        <w:tc>
          <w:tcPr>
            <w:tcW w:w="2976" w:type="dxa"/>
          </w:tcPr>
          <w:p w14:paraId="1F658D16" w14:textId="77777777" w:rsidR="008D6993" w:rsidRDefault="005F3E6E" w:rsidP="0065400A">
            <w:r>
              <w:lastRenderedPageBreak/>
              <w:t xml:space="preserve">Review the concept of </w:t>
            </w:r>
            <w:proofErr w:type="gramStart"/>
            <w:r>
              <w:t>short, mid and long term</w:t>
            </w:r>
            <w:proofErr w:type="gramEnd"/>
            <w:r>
              <w:t xml:space="preserve"> strategies.</w:t>
            </w:r>
          </w:p>
          <w:p w14:paraId="452BCB14" w14:textId="77777777" w:rsidR="005F3E6E" w:rsidRDefault="005F3E6E" w:rsidP="0065400A"/>
          <w:p w14:paraId="36F3D043" w14:textId="77777777" w:rsidR="005F3E6E" w:rsidRDefault="005F3E6E" w:rsidP="0065400A">
            <w:r>
              <w:t xml:space="preserve">Review the membership of the </w:t>
            </w:r>
            <w:r w:rsidR="00D22232">
              <w:t>group and</w:t>
            </w:r>
            <w:r>
              <w:t xml:space="preserve"> advise that the number of observers will continue to increase.</w:t>
            </w:r>
          </w:p>
          <w:p w14:paraId="2AAE8340" w14:textId="77777777" w:rsidR="00D22232" w:rsidRDefault="00D22232" w:rsidP="0065400A"/>
          <w:p w14:paraId="5D57706C" w14:textId="77777777" w:rsidR="00D22232" w:rsidRDefault="00D22232" w:rsidP="0065400A"/>
          <w:p w14:paraId="2EF7B528" w14:textId="77777777" w:rsidR="00D22232" w:rsidRDefault="00D22232" w:rsidP="0065400A"/>
          <w:p w14:paraId="07BD3339" w14:textId="77777777" w:rsidR="00D22232" w:rsidRDefault="00D22232" w:rsidP="0065400A"/>
          <w:p w14:paraId="191B43D4" w14:textId="7AF328ED" w:rsidR="00D22232" w:rsidRDefault="00D22232" w:rsidP="00D22232">
            <w:pPr>
              <w:pStyle w:val="ListParagraph"/>
              <w:numPr>
                <w:ilvl w:val="0"/>
                <w:numId w:val="10"/>
              </w:numPr>
            </w:pPr>
            <w:r>
              <w:t>I say an unqualified yes.</w:t>
            </w:r>
          </w:p>
          <w:p w14:paraId="145B3C61" w14:textId="77777777" w:rsidR="00D22232" w:rsidRDefault="00D22232" w:rsidP="00D22232">
            <w:pPr>
              <w:pStyle w:val="ListParagraph"/>
              <w:numPr>
                <w:ilvl w:val="0"/>
                <w:numId w:val="10"/>
              </w:numPr>
            </w:pPr>
            <w:r>
              <w:t>I accept the decision.</w:t>
            </w:r>
          </w:p>
          <w:p w14:paraId="34CD411A" w14:textId="77777777" w:rsidR="00D22232" w:rsidRDefault="00D22232" w:rsidP="00D22232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I can live with the decision.</w:t>
            </w:r>
          </w:p>
          <w:p w14:paraId="44EED2F6" w14:textId="77777777" w:rsidR="00D22232" w:rsidRDefault="00D22232" w:rsidP="00D22232">
            <w:pPr>
              <w:pStyle w:val="ListParagraph"/>
              <w:numPr>
                <w:ilvl w:val="0"/>
                <w:numId w:val="10"/>
              </w:numPr>
            </w:pPr>
            <w:r>
              <w:t xml:space="preserve">I do not fully agree with the decision, however, I will </w:t>
            </w:r>
            <w:proofErr w:type="gramStart"/>
            <w:r>
              <w:t>no</w:t>
            </w:r>
            <w:proofErr w:type="gramEnd"/>
            <w:r>
              <w:t xml:space="preserve"> block it and will support it.</w:t>
            </w:r>
          </w:p>
          <w:p w14:paraId="0F243228" w14:textId="77777777" w:rsidR="00D22232" w:rsidRDefault="00D22232" w:rsidP="00D22232">
            <w:pPr>
              <w:pStyle w:val="ListParagraph"/>
              <w:numPr>
                <w:ilvl w:val="0"/>
                <w:numId w:val="10"/>
              </w:numPr>
            </w:pPr>
            <w:r>
              <w:t>I wish to express a dissenting view.</w:t>
            </w:r>
          </w:p>
          <w:p w14:paraId="1DE8DF2F" w14:textId="77777777" w:rsidR="009B3AE0" w:rsidRDefault="009B3AE0" w:rsidP="009B3AE0"/>
          <w:p w14:paraId="054147B1" w14:textId="32324BFE" w:rsidR="009B3AE0" w:rsidRDefault="009B3AE0" w:rsidP="009B3AE0">
            <w:r>
              <w:t>This is the responsibility of the chair/co-chair to follow up with the individual(s) to re-engage and better understand their viewpoint and concerns.</w:t>
            </w:r>
          </w:p>
        </w:tc>
        <w:tc>
          <w:tcPr>
            <w:tcW w:w="3261" w:type="dxa"/>
          </w:tcPr>
          <w:p w14:paraId="611F4E70" w14:textId="77777777" w:rsidR="008D6993" w:rsidRDefault="008D6993" w:rsidP="008D6993"/>
          <w:p w14:paraId="756A10AF" w14:textId="77777777" w:rsidR="009B3AE0" w:rsidRDefault="009B3AE0" w:rsidP="008D6993">
            <w:pPr>
              <w:rPr>
                <w:color w:val="FF0000"/>
              </w:rPr>
            </w:pPr>
          </w:p>
          <w:p w14:paraId="37F434AE" w14:textId="77777777" w:rsidR="009B3AE0" w:rsidRDefault="009B3AE0" w:rsidP="008D6993">
            <w:pPr>
              <w:rPr>
                <w:color w:val="FF0000"/>
              </w:rPr>
            </w:pPr>
          </w:p>
          <w:p w14:paraId="43932798" w14:textId="77777777" w:rsidR="009B3AE0" w:rsidRDefault="009B3AE0" w:rsidP="008D6993">
            <w:pPr>
              <w:rPr>
                <w:color w:val="FF0000"/>
              </w:rPr>
            </w:pPr>
          </w:p>
          <w:p w14:paraId="0A7AC14D" w14:textId="77777777" w:rsidR="009B3AE0" w:rsidRDefault="009B3AE0" w:rsidP="008D6993">
            <w:pPr>
              <w:rPr>
                <w:color w:val="FF0000"/>
              </w:rPr>
            </w:pPr>
          </w:p>
          <w:p w14:paraId="6468D000" w14:textId="77777777" w:rsidR="009B3AE0" w:rsidRDefault="009B3AE0" w:rsidP="008D6993">
            <w:pPr>
              <w:rPr>
                <w:color w:val="FF0000"/>
              </w:rPr>
            </w:pPr>
          </w:p>
          <w:p w14:paraId="4327BDE4" w14:textId="77777777" w:rsidR="009B3AE0" w:rsidRDefault="009B3AE0" w:rsidP="008D6993">
            <w:pPr>
              <w:rPr>
                <w:color w:val="FF0000"/>
              </w:rPr>
            </w:pPr>
          </w:p>
          <w:p w14:paraId="0BC2B173" w14:textId="77777777" w:rsidR="009B3AE0" w:rsidRDefault="009B3AE0" w:rsidP="008D6993">
            <w:pPr>
              <w:rPr>
                <w:color w:val="FF0000"/>
              </w:rPr>
            </w:pPr>
          </w:p>
          <w:p w14:paraId="6D989FAE" w14:textId="77777777" w:rsidR="009B3AE0" w:rsidRDefault="009B3AE0" w:rsidP="008D6993">
            <w:pPr>
              <w:rPr>
                <w:color w:val="FF0000"/>
              </w:rPr>
            </w:pPr>
          </w:p>
          <w:p w14:paraId="1E478A0E" w14:textId="77777777" w:rsidR="009B3AE0" w:rsidRDefault="009B3AE0" w:rsidP="008D6993">
            <w:pPr>
              <w:rPr>
                <w:color w:val="FF0000"/>
              </w:rPr>
            </w:pPr>
          </w:p>
          <w:p w14:paraId="14C8D085" w14:textId="1ECCB19E" w:rsidR="009B3AE0" w:rsidRDefault="009B3AE0" w:rsidP="008D6993"/>
        </w:tc>
      </w:tr>
      <w:bookmarkEnd w:id="0"/>
      <w:tr w:rsidR="008D6993" w14:paraId="3C193307" w14:textId="77777777" w:rsidTr="00C82153">
        <w:tc>
          <w:tcPr>
            <w:tcW w:w="2122" w:type="dxa"/>
            <w:shd w:val="clear" w:color="auto" w:fill="D9E2F3" w:themeFill="accent1" w:themeFillTint="33"/>
          </w:tcPr>
          <w:p w14:paraId="51C5B875" w14:textId="77777777" w:rsidR="008D6993" w:rsidRDefault="00F67F0E" w:rsidP="008D6993">
            <w:proofErr w:type="spellStart"/>
            <w:r w:rsidRPr="006B38B4">
              <w:lastRenderedPageBreak/>
              <w:t>Synapcity</w:t>
            </w:r>
            <w:proofErr w:type="spellEnd"/>
            <w:r w:rsidRPr="006B38B4">
              <w:t xml:space="preserve"> Introduction (2 projects</w:t>
            </w:r>
          </w:p>
          <w:p w14:paraId="29424655" w14:textId="77777777" w:rsidR="00C55229" w:rsidRPr="00C55229" w:rsidRDefault="00C55229" w:rsidP="00C55229">
            <w:r w:rsidRPr="00C55229">
              <w:t>Who wants to be involved (cross-representation of</w:t>
            </w:r>
          </w:p>
          <w:p w14:paraId="6E90FEF2" w14:textId="77777777" w:rsidR="00C55229" w:rsidRPr="00C55229" w:rsidRDefault="00C55229" w:rsidP="00C55229">
            <w:r w:rsidRPr="00C55229">
              <w:t>all stakeholder groups)?</w:t>
            </w:r>
          </w:p>
          <w:p w14:paraId="12B3B893" w14:textId="4D0B9E53" w:rsidR="00C55229" w:rsidRDefault="00C55229" w:rsidP="008D6993"/>
        </w:tc>
        <w:tc>
          <w:tcPr>
            <w:tcW w:w="3402" w:type="dxa"/>
          </w:tcPr>
          <w:p w14:paraId="3F2B3C5B" w14:textId="77777777" w:rsidR="00C55229" w:rsidRPr="00C55229" w:rsidRDefault="00C55229" w:rsidP="00C55229">
            <w:r w:rsidRPr="00C55229">
              <w:t>1. Good neighbour commitment – 5 reps; one</w:t>
            </w:r>
          </w:p>
          <w:p w14:paraId="78B74346" w14:textId="77777777" w:rsidR="00C55229" w:rsidRPr="00C55229" w:rsidRDefault="00C55229" w:rsidP="00C55229">
            <w:r w:rsidRPr="00C55229">
              <w:t>from each stakeholder group</w:t>
            </w:r>
          </w:p>
          <w:p w14:paraId="299CDAED" w14:textId="77777777" w:rsidR="00C55229" w:rsidRPr="00C55229" w:rsidRDefault="00C55229" w:rsidP="00C55229">
            <w:r w:rsidRPr="00C55229">
              <w:t>2. Execution of CLC Action Plan (advocacy tor</w:t>
            </w:r>
          </w:p>
          <w:p w14:paraId="018791BD" w14:textId="77777777" w:rsidR="00C55229" w:rsidRPr="00C55229" w:rsidRDefault="00C55229" w:rsidP="00C55229">
            <w:r w:rsidRPr="00C55229">
              <w:t xml:space="preserve">short, mid, </w:t>
            </w:r>
            <w:proofErr w:type="gramStart"/>
            <w:r w:rsidRPr="00C55229">
              <w:t>long term</w:t>
            </w:r>
            <w:proofErr w:type="gramEnd"/>
            <w:r w:rsidRPr="00C55229">
              <w:t xml:space="preserve"> goals) – 5 reps; one</w:t>
            </w:r>
          </w:p>
          <w:p w14:paraId="48EEB8C1" w14:textId="77777777" w:rsidR="00C55229" w:rsidRPr="00C55229" w:rsidRDefault="00C55229" w:rsidP="00C55229">
            <w:r w:rsidRPr="00C55229">
              <w:t>from each stakeholder group</w:t>
            </w:r>
          </w:p>
          <w:p w14:paraId="13BC992D" w14:textId="7EAC4F3A" w:rsidR="008D6993" w:rsidRDefault="008D6993" w:rsidP="00C55229"/>
        </w:tc>
        <w:tc>
          <w:tcPr>
            <w:tcW w:w="2976" w:type="dxa"/>
          </w:tcPr>
          <w:p w14:paraId="20ED875D" w14:textId="4BE13602" w:rsidR="00C55229" w:rsidRPr="007127C1" w:rsidRDefault="00C55229" w:rsidP="007127C1">
            <w:r w:rsidRPr="007127C1">
              <w:t>6</w:t>
            </w:r>
            <w:r w:rsidR="00DD4A4C">
              <w:t>-</w:t>
            </w:r>
            <w:r w:rsidRPr="007127C1">
              <w:t xml:space="preserve">week program. </w:t>
            </w:r>
          </w:p>
          <w:p w14:paraId="1F0AC5A1" w14:textId="77777777" w:rsidR="003E218D" w:rsidRDefault="00C55229" w:rsidP="007127C1">
            <w:r w:rsidRPr="007127C1">
              <w:t xml:space="preserve">Feb 6 is the </w:t>
            </w:r>
            <w:r w:rsidR="00DD4A4C">
              <w:t>second week</w:t>
            </w:r>
            <w:r w:rsidR="003E218D">
              <w:t xml:space="preserve">. </w:t>
            </w:r>
          </w:p>
          <w:p w14:paraId="3EE69117" w14:textId="77777777" w:rsidR="003E218D" w:rsidRDefault="003E218D" w:rsidP="007127C1"/>
          <w:p w14:paraId="0E1A442B" w14:textId="7B4C730C" w:rsidR="00C55229" w:rsidRPr="007127C1" w:rsidRDefault="00C55229" w:rsidP="007127C1">
            <w:r w:rsidRPr="007127C1">
              <w:t>Looking for representatives to come in and speak with the students about the case study.</w:t>
            </w:r>
          </w:p>
          <w:p w14:paraId="0322025C" w14:textId="4C909E56" w:rsidR="00C55229" w:rsidRPr="007127C1" w:rsidRDefault="00DD4A4C" w:rsidP="007127C1">
            <w:r>
              <w:t>Bootcamp is</w:t>
            </w:r>
            <w:r w:rsidR="00C55229" w:rsidRPr="007127C1">
              <w:t xml:space="preserve"> designed for citizen</w:t>
            </w:r>
            <w:r w:rsidR="003E218D">
              <w:t>s</w:t>
            </w:r>
            <w:r w:rsidR="00C55229" w:rsidRPr="007127C1">
              <w:t xml:space="preserve"> and residents of Ottawa to be more involved in civic life</w:t>
            </w:r>
            <w:r w:rsidR="007127C1">
              <w:t>.</w:t>
            </w:r>
          </w:p>
          <w:p w14:paraId="7E6162B4" w14:textId="42661BF0" w:rsidR="00C55229" w:rsidRPr="007127C1" w:rsidRDefault="003E218D" w:rsidP="007127C1">
            <w:r>
              <w:br/>
            </w:r>
            <w:r w:rsidR="00C55229" w:rsidRPr="007127C1">
              <w:t xml:space="preserve">Modules </w:t>
            </w:r>
            <w:r w:rsidR="007127C1">
              <w:t xml:space="preserve">include </w:t>
            </w:r>
            <w:r w:rsidR="00C55229" w:rsidRPr="007127C1">
              <w:t xml:space="preserve">Civic Navigation, </w:t>
            </w:r>
            <w:r w:rsidR="007127C1">
              <w:t>T</w:t>
            </w:r>
            <w:r w:rsidR="00C55229" w:rsidRPr="007127C1">
              <w:t>he Civic Plan, Advocacy and Engagement, Placemaking, People and Partnerships.</w:t>
            </w:r>
          </w:p>
          <w:p w14:paraId="0024540A" w14:textId="77777777" w:rsidR="00C55229" w:rsidRPr="007127C1" w:rsidRDefault="00C55229" w:rsidP="007127C1">
            <w:r w:rsidRPr="007127C1">
              <w:t xml:space="preserve">Case studies are the vital part as they get people working together. </w:t>
            </w:r>
          </w:p>
          <w:p w14:paraId="5D3452B8" w14:textId="77777777" w:rsidR="005B72B3" w:rsidRDefault="00C55229" w:rsidP="007127C1">
            <w:r w:rsidRPr="007127C1">
              <w:lastRenderedPageBreak/>
              <w:t>Calla: Vision on how it may be coordinated.</w:t>
            </w:r>
          </w:p>
          <w:p w14:paraId="0D345F70" w14:textId="7BA75351" w:rsidR="00C55229" w:rsidRPr="007127C1" w:rsidRDefault="00C55229" w:rsidP="007127C1">
            <w:r w:rsidRPr="007127C1">
              <w:t xml:space="preserve"> </w:t>
            </w:r>
          </w:p>
          <w:p w14:paraId="12F6CE62" w14:textId="77777777" w:rsidR="007127C1" w:rsidRPr="007127C1" w:rsidRDefault="00C55229" w:rsidP="007127C1">
            <w:r w:rsidRPr="007127C1">
              <w:t>Two separate case studies that were submitted.</w:t>
            </w:r>
          </w:p>
          <w:p w14:paraId="77D28E58" w14:textId="77777777" w:rsidR="005B72B3" w:rsidRDefault="005B72B3" w:rsidP="007127C1"/>
          <w:p w14:paraId="57F5A2D8" w14:textId="4CD335F2" w:rsidR="00D159B3" w:rsidRDefault="00C55229" w:rsidP="007127C1">
            <w:r w:rsidRPr="007127C1">
              <w:t xml:space="preserve">There were many applications </w:t>
            </w:r>
            <w:r w:rsidR="000E65AD">
              <w:t xml:space="preserve">and two were selected from this neighbourhood. We therefore </w:t>
            </w:r>
            <w:proofErr w:type="gramStart"/>
            <w:r w:rsidR="000E65AD">
              <w:t>have to</w:t>
            </w:r>
            <w:proofErr w:type="gramEnd"/>
            <w:r w:rsidR="000E65AD">
              <w:t xml:space="preserve"> manage the</w:t>
            </w:r>
            <w:r w:rsidR="00D159B3">
              <w:t>m</w:t>
            </w:r>
            <w:r w:rsidR="000E65AD">
              <w:t xml:space="preserve"> both separately.</w:t>
            </w:r>
            <w:r w:rsidR="00D159B3">
              <w:t xml:space="preserve"> One is from Oasis, so Wendy will lead those communications</w:t>
            </w:r>
            <w:r w:rsidR="00FF6F2F">
              <w:t xml:space="preserve">, though, it will always come back to this committee. </w:t>
            </w:r>
            <w:r w:rsidR="00D159B3">
              <w:t xml:space="preserve">The other is from the SHCLC. </w:t>
            </w:r>
          </w:p>
          <w:p w14:paraId="2D18514D" w14:textId="77777777" w:rsidR="00D159B3" w:rsidRDefault="00D159B3" w:rsidP="007127C1"/>
          <w:p w14:paraId="0085CA87" w14:textId="4AE53A78" w:rsidR="008D6993" w:rsidRDefault="000E65AD" w:rsidP="007127C1">
            <w:r>
              <w:t xml:space="preserve">We can </w:t>
            </w:r>
            <w:r w:rsidR="00FF6F2F">
              <w:t xml:space="preserve">coordinate these case studies through </w:t>
            </w:r>
            <w:r>
              <w:t xml:space="preserve">two smaller working groups, or one large working group. </w:t>
            </w:r>
          </w:p>
          <w:p w14:paraId="454D088C" w14:textId="29CC0EBE" w:rsidR="000E65AD" w:rsidRDefault="000E65AD" w:rsidP="007127C1"/>
        </w:tc>
        <w:tc>
          <w:tcPr>
            <w:tcW w:w="3261" w:type="dxa"/>
          </w:tcPr>
          <w:p w14:paraId="71628214" w14:textId="77777777" w:rsidR="008D6993" w:rsidRDefault="00547EEB" w:rsidP="008D6993">
            <w:r>
              <w:lastRenderedPageBreak/>
              <w:t xml:space="preserve">Oversight of the case studies will be taken on by two separate working groups. </w:t>
            </w:r>
          </w:p>
          <w:p w14:paraId="0ABC2924" w14:textId="77777777" w:rsidR="00547EEB" w:rsidRDefault="00547EEB" w:rsidP="008D6993"/>
          <w:p w14:paraId="5BFC43F1" w14:textId="77777777" w:rsidR="00547EEB" w:rsidRDefault="00547EEB" w:rsidP="008D6993">
            <w:r>
              <w:t xml:space="preserve">GNC will be led by Wendy. </w:t>
            </w:r>
          </w:p>
          <w:p w14:paraId="34873EF5" w14:textId="77777777" w:rsidR="00547EEB" w:rsidRDefault="00547EEB" w:rsidP="008D6993"/>
          <w:p w14:paraId="6FB547E1" w14:textId="77777777" w:rsidR="00547EEB" w:rsidRDefault="00547EEB" w:rsidP="008D6993">
            <w:r>
              <w:t xml:space="preserve">Strategic Priorities will be led by Calla. </w:t>
            </w:r>
          </w:p>
          <w:p w14:paraId="6D60F150" w14:textId="77777777" w:rsidR="00547EEB" w:rsidRDefault="00547EEB" w:rsidP="008D6993"/>
          <w:p w14:paraId="374DBB5A" w14:textId="568B0AA0" w:rsidR="00547EEB" w:rsidRDefault="00547EEB" w:rsidP="008D6993">
            <w:r>
              <w:t xml:space="preserve">Committee Members will email Wendy and/or Calla to indicate interest in participating in one or both working groups by Friday January 19. </w:t>
            </w:r>
          </w:p>
        </w:tc>
      </w:tr>
      <w:tr w:rsidR="008D6993" w14:paraId="414562F2" w14:textId="77777777" w:rsidTr="00C82153">
        <w:tc>
          <w:tcPr>
            <w:tcW w:w="2122" w:type="dxa"/>
            <w:shd w:val="clear" w:color="auto" w:fill="D9E2F3" w:themeFill="accent1" w:themeFillTint="33"/>
          </w:tcPr>
          <w:p w14:paraId="2DC76A63" w14:textId="44CAF433" w:rsidR="008D6993" w:rsidRDefault="00F67F0E" w:rsidP="008D6993">
            <w:r w:rsidRPr="006B38B4">
              <w:t>Co-chair Announcement &amp; Mentorship</w:t>
            </w:r>
          </w:p>
        </w:tc>
        <w:tc>
          <w:tcPr>
            <w:tcW w:w="3402" w:type="dxa"/>
          </w:tcPr>
          <w:p w14:paraId="56491F72" w14:textId="09E81860" w:rsidR="008D6993" w:rsidRDefault="00007B5F" w:rsidP="008D6993">
            <w:r>
              <w:t>No issues or concerns raised.</w:t>
            </w:r>
          </w:p>
        </w:tc>
        <w:tc>
          <w:tcPr>
            <w:tcW w:w="2976" w:type="dxa"/>
          </w:tcPr>
          <w:p w14:paraId="4E483D31" w14:textId="494F360A" w:rsidR="008D6993" w:rsidRDefault="00007B5F" w:rsidP="008D6993">
            <w:r>
              <w:t xml:space="preserve">David </w:t>
            </w:r>
            <w:proofErr w:type="spellStart"/>
            <w:r>
              <w:t>Haje</w:t>
            </w:r>
            <w:r w:rsidR="00925EAD">
              <w:t>szc</w:t>
            </w:r>
            <w:proofErr w:type="spellEnd"/>
            <w:r>
              <w:t xml:space="preserve"> and Michael Garner will take over the roles of Chair and Co-Chair respectively.  </w:t>
            </w:r>
          </w:p>
        </w:tc>
        <w:tc>
          <w:tcPr>
            <w:tcW w:w="3261" w:type="dxa"/>
          </w:tcPr>
          <w:p w14:paraId="352C22D7" w14:textId="77777777" w:rsidR="00007B5F" w:rsidRDefault="007037F3" w:rsidP="008D6993">
            <w:r>
              <w:t xml:space="preserve">David and Michael will receive some guidance and training from Lorna and Norm. </w:t>
            </w:r>
          </w:p>
          <w:p w14:paraId="5BDFEB37" w14:textId="77777777" w:rsidR="007037F3" w:rsidRDefault="007037F3" w:rsidP="008D6993"/>
          <w:p w14:paraId="1E079F63" w14:textId="54912938" w:rsidR="007037F3" w:rsidRDefault="007037F3" w:rsidP="008D6993">
            <w:r>
              <w:t xml:space="preserve">David and Michael will Co-Chair SHCLC meetings for the next year, at minimum. </w:t>
            </w:r>
          </w:p>
          <w:p w14:paraId="60B67281" w14:textId="77777777" w:rsidR="007037F3" w:rsidRDefault="007037F3" w:rsidP="008D6993"/>
          <w:p w14:paraId="44606667" w14:textId="2C487073" w:rsidR="007037F3" w:rsidRPr="007037F3" w:rsidRDefault="007037F3" w:rsidP="008D6993">
            <w:r>
              <w:t xml:space="preserve">David and Michael will work with the planning committee moving forward. </w:t>
            </w:r>
          </w:p>
        </w:tc>
      </w:tr>
      <w:tr w:rsidR="008D6993" w14:paraId="65CEFA82" w14:textId="77777777" w:rsidTr="00C82153">
        <w:tc>
          <w:tcPr>
            <w:tcW w:w="2122" w:type="dxa"/>
            <w:shd w:val="clear" w:color="auto" w:fill="D9E2F3" w:themeFill="accent1" w:themeFillTint="33"/>
          </w:tcPr>
          <w:p w14:paraId="1DF1BC7A" w14:textId="74A42EDA" w:rsidR="008D6993" w:rsidRDefault="00F67F0E" w:rsidP="008D6993">
            <w:r>
              <w:lastRenderedPageBreak/>
              <w:t>Facilitated Group Sessions</w:t>
            </w:r>
          </w:p>
        </w:tc>
        <w:tc>
          <w:tcPr>
            <w:tcW w:w="3402" w:type="dxa"/>
          </w:tcPr>
          <w:p w14:paraId="1E7AE255" w14:textId="790BFA40" w:rsidR="00007B5F" w:rsidRDefault="00007B5F" w:rsidP="008D6993">
            <w:r w:rsidRPr="00007B5F">
              <w:t xml:space="preserve">Monitored Safe Zones (10 votes) – </w:t>
            </w:r>
            <w:r w:rsidR="00E9137D">
              <w:t>David</w:t>
            </w:r>
            <w:r w:rsidRPr="00007B5F">
              <w:t xml:space="preserve"> to </w:t>
            </w:r>
            <w:proofErr w:type="gramStart"/>
            <w:r w:rsidRPr="00007B5F">
              <w:t>facilitate</w:t>
            </w:r>
            <w:proofErr w:type="gramEnd"/>
          </w:p>
          <w:p w14:paraId="5DD850A3" w14:textId="24ED084C" w:rsidR="008D6993" w:rsidRDefault="00007B5F" w:rsidP="008D6993">
            <w:r w:rsidRPr="00007B5F">
              <w:t xml:space="preserve">Inhalation Space (8 votes) – </w:t>
            </w:r>
            <w:r w:rsidR="00E9137D">
              <w:t>Michael</w:t>
            </w:r>
            <w:r w:rsidRPr="00007B5F">
              <w:t xml:space="preserve"> to facilitate</w:t>
            </w:r>
          </w:p>
        </w:tc>
        <w:tc>
          <w:tcPr>
            <w:tcW w:w="2976" w:type="dxa"/>
          </w:tcPr>
          <w:p w14:paraId="4E9A5F85" w14:textId="53473CDE" w:rsidR="008D6993" w:rsidRDefault="00007B5F" w:rsidP="008D6993">
            <w:r>
              <w:t>Committee broken into two groups to continue previous discussion as there was no consensus reached in previous meeting.</w:t>
            </w:r>
          </w:p>
        </w:tc>
        <w:tc>
          <w:tcPr>
            <w:tcW w:w="3261" w:type="dxa"/>
          </w:tcPr>
          <w:p w14:paraId="54DC4232" w14:textId="77777777" w:rsidR="00007B5F" w:rsidRDefault="007037F3" w:rsidP="007037F3">
            <w:r>
              <w:t xml:space="preserve">Complete the discussions in break out groups. </w:t>
            </w:r>
          </w:p>
          <w:p w14:paraId="736F936B" w14:textId="77777777" w:rsidR="007037F3" w:rsidRDefault="007037F3" w:rsidP="007037F3"/>
          <w:p w14:paraId="2A2A87E9" w14:textId="77777777" w:rsidR="007037F3" w:rsidRDefault="007037F3" w:rsidP="007037F3">
            <w:r>
              <w:t xml:space="preserve">Bring the completed work back to plenary discussion. </w:t>
            </w:r>
          </w:p>
          <w:p w14:paraId="4CAC1933" w14:textId="77777777" w:rsidR="007037F3" w:rsidRDefault="007037F3" w:rsidP="007037F3"/>
          <w:p w14:paraId="134F5726" w14:textId="330D9F4C" w:rsidR="007037F3" w:rsidRDefault="007037F3" w:rsidP="007037F3">
            <w:r>
              <w:t xml:space="preserve">Make changes needed and finalize the plan for each of the priorities, within the framework. </w:t>
            </w:r>
          </w:p>
        </w:tc>
      </w:tr>
      <w:tr w:rsidR="003376FC" w14:paraId="5F38433B" w14:textId="77777777" w:rsidTr="008E5CA6">
        <w:tc>
          <w:tcPr>
            <w:tcW w:w="2122" w:type="dxa"/>
            <w:shd w:val="clear" w:color="auto" w:fill="FFFF00"/>
          </w:tcPr>
          <w:p w14:paraId="4D6EC375" w14:textId="77777777" w:rsidR="003376FC" w:rsidRPr="00BA353C" w:rsidRDefault="003376FC" w:rsidP="008D6993">
            <w:r w:rsidRPr="00BA353C">
              <w:t>Next Meeting</w:t>
            </w:r>
          </w:p>
        </w:tc>
        <w:tc>
          <w:tcPr>
            <w:tcW w:w="3402" w:type="dxa"/>
            <w:shd w:val="clear" w:color="auto" w:fill="FFFF00"/>
          </w:tcPr>
          <w:p w14:paraId="2D4D481B" w14:textId="52AE7BE4" w:rsidR="003376FC" w:rsidRPr="00BA353C" w:rsidRDefault="00BA0E46" w:rsidP="008D6993">
            <w:r>
              <w:t>February 20</w:t>
            </w:r>
            <w:r w:rsidR="003376FC" w:rsidRPr="00BA353C">
              <w:t>, 202</w:t>
            </w:r>
            <w:r>
              <w:t>4</w:t>
            </w:r>
            <w:r w:rsidR="003376FC" w:rsidRPr="00BA353C">
              <w:t xml:space="preserve"> – 5:30pm-730PM</w:t>
            </w:r>
          </w:p>
        </w:tc>
        <w:tc>
          <w:tcPr>
            <w:tcW w:w="6237" w:type="dxa"/>
            <w:gridSpan w:val="2"/>
            <w:shd w:val="clear" w:color="auto" w:fill="FFFF00"/>
          </w:tcPr>
          <w:p w14:paraId="08D3FD2B" w14:textId="77777777" w:rsidR="008D02E4" w:rsidRPr="00BA353C" w:rsidRDefault="003376FC" w:rsidP="008D6993">
            <w:r w:rsidRPr="00BA353C">
              <w:rPr>
                <w:b/>
              </w:rPr>
              <w:t>Location:</w:t>
            </w:r>
            <w:r w:rsidRPr="00BA353C">
              <w:t xml:space="preserve"> Sandy Hill Community Health </w:t>
            </w:r>
            <w:proofErr w:type="gramStart"/>
            <w:r w:rsidRPr="00BA353C">
              <w:t>Centre</w:t>
            </w:r>
            <w:r w:rsidR="008E5CA6" w:rsidRPr="00BA353C">
              <w:t>;</w:t>
            </w:r>
            <w:proofErr w:type="gramEnd"/>
            <w:r w:rsidR="008E5CA6" w:rsidRPr="00BA353C">
              <w:t xml:space="preserve"> </w:t>
            </w:r>
          </w:p>
          <w:p w14:paraId="47A4076E" w14:textId="77777777" w:rsidR="008D02E4" w:rsidRPr="00BA353C" w:rsidRDefault="008D02E4" w:rsidP="008D6993"/>
          <w:p w14:paraId="7ABDD243" w14:textId="7D9C7418" w:rsidR="003376FC" w:rsidRPr="00BA353C" w:rsidRDefault="008E5CA6" w:rsidP="008D6993">
            <w:r w:rsidRPr="00BA353C">
              <w:t xml:space="preserve">Pls </w:t>
            </w:r>
            <w:r w:rsidR="00BA353C" w:rsidRPr="00BA353C">
              <w:t>respond to</w:t>
            </w:r>
            <w:r w:rsidRPr="00BA353C">
              <w:t xml:space="preserve"> </w:t>
            </w:r>
            <w:r w:rsidR="00BA353C" w:rsidRPr="00BA353C">
              <w:t xml:space="preserve">invite from </w:t>
            </w:r>
            <w:hyperlink r:id="rId5" w:history="1">
              <w:r w:rsidR="00EB7BA8" w:rsidRPr="00BA353C">
                <w:rPr>
                  <w:rStyle w:val="Hyperlink"/>
                </w:rPr>
                <w:t>kent.hugh@ottawa.ca</w:t>
              </w:r>
            </w:hyperlink>
          </w:p>
        </w:tc>
      </w:tr>
    </w:tbl>
    <w:p w14:paraId="025BE8E9" w14:textId="2A88EF0B" w:rsidR="00DE7B3C" w:rsidRPr="00967FEB" w:rsidRDefault="00DE7B3C" w:rsidP="00DE7B3C">
      <w:pPr>
        <w:rPr>
          <w:b/>
          <w:sz w:val="28"/>
          <w:szCs w:val="28"/>
          <w:u w:val="single"/>
        </w:rPr>
      </w:pPr>
    </w:p>
    <w:sectPr w:rsidR="00DE7B3C" w:rsidRPr="00967FEB" w:rsidSect="00C74E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30F"/>
    <w:multiLevelType w:val="hybridMultilevel"/>
    <w:tmpl w:val="EA5EAB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FA9"/>
    <w:multiLevelType w:val="hybridMultilevel"/>
    <w:tmpl w:val="A7F04846"/>
    <w:lvl w:ilvl="0" w:tplc="FC362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4CE"/>
    <w:multiLevelType w:val="hybridMultilevel"/>
    <w:tmpl w:val="F4562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17DEF"/>
    <w:multiLevelType w:val="hybridMultilevel"/>
    <w:tmpl w:val="07F0F78E"/>
    <w:lvl w:ilvl="0" w:tplc="FC362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F0DAB"/>
    <w:multiLevelType w:val="hybridMultilevel"/>
    <w:tmpl w:val="99FCEA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328"/>
    <w:multiLevelType w:val="hybridMultilevel"/>
    <w:tmpl w:val="61989B4E"/>
    <w:lvl w:ilvl="0" w:tplc="564E68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2316F"/>
    <w:multiLevelType w:val="hybridMultilevel"/>
    <w:tmpl w:val="8988B60E"/>
    <w:lvl w:ilvl="0" w:tplc="FC362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B0FAE"/>
    <w:multiLevelType w:val="hybridMultilevel"/>
    <w:tmpl w:val="4F3880AA"/>
    <w:lvl w:ilvl="0" w:tplc="FC362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5227294">
    <w:abstractNumId w:val="0"/>
  </w:num>
  <w:num w:numId="2" w16cid:durableId="1545168620">
    <w:abstractNumId w:val="5"/>
  </w:num>
  <w:num w:numId="3" w16cid:durableId="1321613030">
    <w:abstractNumId w:val="4"/>
  </w:num>
  <w:num w:numId="4" w16cid:durableId="162209721">
    <w:abstractNumId w:val="1"/>
  </w:num>
  <w:num w:numId="5" w16cid:durableId="1700548227">
    <w:abstractNumId w:val="6"/>
  </w:num>
  <w:num w:numId="6" w16cid:durableId="812797316">
    <w:abstractNumId w:val="3"/>
  </w:num>
  <w:num w:numId="7" w16cid:durableId="1070812362">
    <w:abstractNumId w:val="7"/>
  </w:num>
  <w:num w:numId="8" w16cid:durableId="624428520">
    <w:abstractNumId w:val="3"/>
  </w:num>
  <w:num w:numId="9" w16cid:durableId="984819085">
    <w:abstractNumId w:val="6"/>
  </w:num>
  <w:num w:numId="10" w16cid:durableId="1148398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97"/>
    <w:rsid w:val="00007B5F"/>
    <w:rsid w:val="000640F7"/>
    <w:rsid w:val="000B7B19"/>
    <w:rsid w:val="000C485B"/>
    <w:rsid w:val="000D7A8E"/>
    <w:rsid w:val="000E65AD"/>
    <w:rsid w:val="00101E1D"/>
    <w:rsid w:val="001735D7"/>
    <w:rsid w:val="002D1BAE"/>
    <w:rsid w:val="003376FC"/>
    <w:rsid w:val="0037314B"/>
    <w:rsid w:val="00391BDF"/>
    <w:rsid w:val="003E218D"/>
    <w:rsid w:val="00486B14"/>
    <w:rsid w:val="004B0BE5"/>
    <w:rsid w:val="004B1693"/>
    <w:rsid w:val="00507487"/>
    <w:rsid w:val="00523482"/>
    <w:rsid w:val="00536CEA"/>
    <w:rsid w:val="00543E7E"/>
    <w:rsid w:val="00546DFD"/>
    <w:rsid w:val="00547EEB"/>
    <w:rsid w:val="005B3E9D"/>
    <w:rsid w:val="005B72B3"/>
    <w:rsid w:val="005C267B"/>
    <w:rsid w:val="005F3E6E"/>
    <w:rsid w:val="005F4C85"/>
    <w:rsid w:val="006119A2"/>
    <w:rsid w:val="0065400A"/>
    <w:rsid w:val="006B38B4"/>
    <w:rsid w:val="006F0285"/>
    <w:rsid w:val="007037F3"/>
    <w:rsid w:val="007127C1"/>
    <w:rsid w:val="00750001"/>
    <w:rsid w:val="00792BBB"/>
    <w:rsid w:val="008D02E4"/>
    <w:rsid w:val="008D0FA3"/>
    <w:rsid w:val="008D6993"/>
    <w:rsid w:val="008E5CA6"/>
    <w:rsid w:val="009114C7"/>
    <w:rsid w:val="00925EAD"/>
    <w:rsid w:val="00967FEB"/>
    <w:rsid w:val="009B3AE0"/>
    <w:rsid w:val="009D1511"/>
    <w:rsid w:val="00AA2423"/>
    <w:rsid w:val="00AB5126"/>
    <w:rsid w:val="00BA0E46"/>
    <w:rsid w:val="00BA353C"/>
    <w:rsid w:val="00C55229"/>
    <w:rsid w:val="00C74E47"/>
    <w:rsid w:val="00C82153"/>
    <w:rsid w:val="00CB43EF"/>
    <w:rsid w:val="00CC735D"/>
    <w:rsid w:val="00CE0509"/>
    <w:rsid w:val="00CE1DFA"/>
    <w:rsid w:val="00D159B3"/>
    <w:rsid w:val="00D22232"/>
    <w:rsid w:val="00D75E37"/>
    <w:rsid w:val="00DD4A4C"/>
    <w:rsid w:val="00DE7B3C"/>
    <w:rsid w:val="00E31297"/>
    <w:rsid w:val="00E50A82"/>
    <w:rsid w:val="00E9137D"/>
    <w:rsid w:val="00EB7BA8"/>
    <w:rsid w:val="00EF1FA8"/>
    <w:rsid w:val="00EF58B4"/>
    <w:rsid w:val="00F523C4"/>
    <w:rsid w:val="00F67F0E"/>
    <w:rsid w:val="00F87F63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97B9"/>
  <w15:chartTrackingRefBased/>
  <w15:docId w15:val="{71190926-F16F-48A5-BEA3-9600E10D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01"/>
  </w:style>
  <w:style w:type="paragraph" w:styleId="Heading2">
    <w:name w:val="heading 2"/>
    <w:basedOn w:val="Normal"/>
    <w:link w:val="Heading2Char"/>
    <w:uiPriority w:val="9"/>
    <w:qFormat/>
    <w:rsid w:val="00486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D6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9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993"/>
    <w:pPr>
      <w:ind w:left="720"/>
      <w:contextualSpacing/>
    </w:pPr>
  </w:style>
  <w:style w:type="character" w:customStyle="1" w:styleId="ui-provider">
    <w:name w:val="ui-provider"/>
    <w:basedOn w:val="DefaultParagraphFont"/>
    <w:rsid w:val="00F67F0E"/>
  </w:style>
  <w:style w:type="character" w:customStyle="1" w:styleId="Heading2Char">
    <w:name w:val="Heading 2 Char"/>
    <w:basedOn w:val="DefaultParagraphFont"/>
    <w:link w:val="Heading2"/>
    <w:uiPriority w:val="9"/>
    <w:rsid w:val="00486B14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776</Words>
  <Characters>4419</Characters>
  <Application>Microsoft Office Word</Application>
  <DocSecurity>0</DocSecurity>
  <Lines>441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 Hill Community Health Centre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Stewart</dc:creator>
  <cp:keywords/>
  <dc:description/>
  <cp:lastModifiedBy>Calla Jeanne Barnett</cp:lastModifiedBy>
  <cp:revision>7</cp:revision>
  <dcterms:created xsi:type="dcterms:W3CDTF">2024-01-22T04:06:00Z</dcterms:created>
  <dcterms:modified xsi:type="dcterms:W3CDTF">2024-01-22T04:11:00Z</dcterms:modified>
</cp:coreProperties>
</file>